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73" w:rsidRPr="00BD7C22" w:rsidRDefault="00104873" w:rsidP="00D6126F">
      <w:pPr>
        <w:rPr>
          <w:rFonts w:ascii="Trebuchet MS" w:hAnsi="Trebuchet MS" w:cs="Trebuchet MS"/>
          <w:b/>
          <w:bCs/>
          <w:color w:val="22AC14"/>
          <w:lang w:val="x-none"/>
        </w:rPr>
      </w:pPr>
      <w:bookmarkStart w:id="0" w:name="_GoBack"/>
      <w:bookmarkEnd w:id="0"/>
      <w:r w:rsidRPr="00BD7C22">
        <w:rPr>
          <w:rFonts w:ascii="Trebuchet MS" w:hAnsi="Trebuchet MS" w:cs="Trebuchet MS"/>
          <w:b/>
          <w:bCs/>
          <w:color w:val="22AC14"/>
          <w:lang w:val="x-none"/>
        </w:rPr>
        <w:t>CAPITOLUL II: Componența parteneriatului</w:t>
      </w:r>
    </w:p>
    <w:p w:rsidR="00104873" w:rsidRPr="00BD7C22" w:rsidRDefault="00104873" w:rsidP="00104873">
      <w:pPr>
        <w:autoSpaceDE w:val="0"/>
        <w:autoSpaceDN w:val="0"/>
        <w:adjustRightInd w:val="0"/>
        <w:spacing w:after="0"/>
        <w:jc w:val="both"/>
        <w:rPr>
          <w:rFonts w:ascii="Trebuchet MS" w:hAnsi="Trebuchet MS" w:cs="Trebuchet MS"/>
          <w:color w:val="000000"/>
          <w:lang w:val="x-none"/>
        </w:rPr>
      </w:pPr>
    </w:p>
    <w:p w:rsidR="00104873" w:rsidRPr="00BD7C22" w:rsidRDefault="00104873" w:rsidP="00104873">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color w:val="000000"/>
          <w:lang w:val="x-none"/>
        </w:rPr>
        <w:t>Asociaţia Grupul de Acţiune Locală Valea Izei Moisei espe un parteneriat public-privat constituit în baza Ordonanţei 26/2000, având în componenţa lui 49 de membri din care:</w:t>
      </w:r>
    </w:p>
    <w:p w:rsidR="00104873" w:rsidRPr="00BD7C22" w:rsidRDefault="00104873" w:rsidP="00104873">
      <w:pPr>
        <w:numPr>
          <w:ilvl w:val="0"/>
          <w:numId w:val="2"/>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13 parteneri autorităţi publice locale, reprezentând 27%</w:t>
      </w:r>
      <w:r w:rsidRPr="00BD7C22">
        <w:rPr>
          <w:rFonts w:ascii="Trebuchet MS" w:hAnsi="Trebuchet MS" w:cs="Trebuchet MS"/>
          <w:color w:val="000000"/>
          <w:lang w:val="ro-RO"/>
        </w:rPr>
        <w:t>;</w:t>
      </w:r>
    </w:p>
    <w:p w:rsidR="00104873" w:rsidRPr="00BD7C22" w:rsidRDefault="00104873" w:rsidP="00104873">
      <w:pPr>
        <w:numPr>
          <w:ilvl w:val="0"/>
          <w:numId w:val="2"/>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 xml:space="preserve">29 parteneri </w:t>
      </w:r>
      <w:r w:rsidRPr="00BD7C22">
        <w:rPr>
          <w:rFonts w:ascii="Trebuchet MS" w:hAnsi="Trebuchet MS" w:cs="Trebuchet MS"/>
          <w:lang w:val="x-none"/>
        </w:rPr>
        <w:t xml:space="preserve">din sectorul privat, </w:t>
      </w:r>
      <w:r w:rsidRPr="00BD7C22">
        <w:rPr>
          <w:rFonts w:ascii="Trebuchet MS" w:hAnsi="Trebuchet MS" w:cs="Trebuchet MS"/>
          <w:color w:val="000000"/>
          <w:lang w:val="x-none"/>
        </w:rPr>
        <w:t>reprezentând 58%</w:t>
      </w:r>
      <w:r w:rsidRPr="00BD7C22">
        <w:rPr>
          <w:rFonts w:ascii="Trebuchet MS" w:hAnsi="Trebuchet MS" w:cs="Trebuchet MS"/>
          <w:color w:val="000000"/>
          <w:lang w:val="ro-RO"/>
        </w:rPr>
        <w:t>;</w:t>
      </w:r>
    </w:p>
    <w:p w:rsidR="00104873" w:rsidRPr="00BD7C22" w:rsidRDefault="00104873" w:rsidP="00104873">
      <w:pPr>
        <w:numPr>
          <w:ilvl w:val="0"/>
          <w:numId w:val="2"/>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6 parteneri reprezentanţi ai societăţii civile reprezentând 13%</w:t>
      </w:r>
      <w:r w:rsidRPr="00BD7C22">
        <w:rPr>
          <w:rFonts w:ascii="Trebuchet MS" w:hAnsi="Trebuchet MS" w:cs="Trebuchet MS"/>
          <w:color w:val="000000"/>
          <w:lang w:val="ro-RO"/>
        </w:rPr>
        <w:t>;</w:t>
      </w:r>
      <w:r w:rsidRPr="00BD7C22">
        <w:rPr>
          <w:rFonts w:ascii="Trebuchet MS" w:hAnsi="Trebuchet MS" w:cs="Trebuchet MS"/>
          <w:color w:val="000000"/>
          <w:lang w:val="x-none"/>
        </w:rPr>
        <w:t xml:space="preserve"> </w:t>
      </w:r>
    </w:p>
    <w:p w:rsidR="00104873" w:rsidRPr="00BD7C22" w:rsidRDefault="00104873" w:rsidP="00104873">
      <w:pPr>
        <w:numPr>
          <w:ilvl w:val="0"/>
          <w:numId w:val="2"/>
        </w:numPr>
        <w:autoSpaceDE w:val="0"/>
        <w:autoSpaceDN w:val="0"/>
        <w:adjustRightInd w:val="0"/>
        <w:spacing w:after="0" w:line="276" w:lineRule="auto"/>
        <w:jc w:val="both"/>
        <w:rPr>
          <w:rFonts w:ascii="Trebuchet MS" w:hAnsi="Trebuchet MS" w:cs="Trebuchet MS"/>
          <w:color w:val="000000"/>
          <w:lang w:val="x-none"/>
        </w:rPr>
      </w:pPr>
      <w:r w:rsidRPr="00BD7C22">
        <w:rPr>
          <w:rFonts w:ascii="Trebuchet MS" w:hAnsi="Trebuchet MS" w:cs="Trebuchet MS"/>
          <w:color w:val="000000"/>
          <w:lang w:val="x-none"/>
        </w:rPr>
        <w:t>1 persoana fizică reprezentând 2%;</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 xml:space="preserve">S-a urmărit constituirea unui parteneriat echilibrat și reprezentativ pentru microregiune, format din parteneri publici, privați și societate civilă conform Anexei 3. Ponderea partenerilor privaţi şi ai societãţii civile reprezintã 73% din totalul partenerilor. Toţi partenerii s-au implicat activ în procesul de elaborare a strategiei demonstrând un real interes pentru dezvoltarea microregiunii, pentru creşterea nivelului de trai ai locuitorilor din zona. </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p>
    <w:p w:rsidR="00104873" w:rsidRPr="00BD7C22" w:rsidRDefault="00104873" w:rsidP="00104873">
      <w:pPr>
        <w:autoSpaceDE w:val="0"/>
        <w:autoSpaceDN w:val="0"/>
        <w:adjustRightInd w:val="0"/>
        <w:spacing w:after="0"/>
        <w:jc w:val="both"/>
        <w:rPr>
          <w:rFonts w:ascii="Trebuchet MS" w:hAnsi="Trebuchet MS" w:cs="Trebuchet MS"/>
          <w:b/>
          <w:bCs/>
          <w:lang w:val="x-none"/>
        </w:rPr>
      </w:pPr>
      <w:r w:rsidRPr="00BD7C22">
        <w:rPr>
          <w:rFonts w:ascii="Trebuchet MS" w:hAnsi="Trebuchet MS" w:cs="Trebuchet MS"/>
          <w:b/>
          <w:bCs/>
          <w:lang w:val="x-none"/>
        </w:rPr>
        <w:t>SECTORUL PUBLIC:</w:t>
      </w:r>
    </w:p>
    <w:p w:rsidR="00104873" w:rsidRPr="00BD7C22" w:rsidRDefault="00104873" w:rsidP="00104873">
      <w:pPr>
        <w:tabs>
          <w:tab w:val="left" w:pos="285"/>
        </w:tabs>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Este reprezentat de 11 UAT-uri, din care 9 comune, 2 oraşe</w:t>
      </w:r>
      <w:r w:rsidRPr="00BD7C22">
        <w:rPr>
          <w:rFonts w:ascii="Trebuchet MS" w:hAnsi="Trebuchet MS" w:cs="Trebuchet MS"/>
          <w:lang w:val="ro-RO"/>
        </w:rPr>
        <w:t>,</w:t>
      </w:r>
      <w:r w:rsidRPr="00BD7C22">
        <w:rPr>
          <w:rFonts w:ascii="Trebuchet MS" w:hAnsi="Trebuchet MS" w:cs="Trebuchet MS"/>
          <w:lang w:val="x-none"/>
        </w:rPr>
        <w:t xml:space="preserve"> 2 şcoli  Partenerii publici şi-au manifestat dorinţa de a sprijini asociaţia atât financiar prin intermediul unor cotizaţii anuale dar mai ales în activitatea de susţinere a fermierilor în amenajarea unor depozite locale de legume-fructe şi secţii de procesare carne şi lapte. UAT-urile au aderat la teritoriul LEADER al Grupului de Acțiune Localã Valea Izei Moisei, pentru programarea 2014-2020 prin Hotãrâri de Consiliu Local.</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Interesul partenerilor publici în dezvoltarea teritoriului este justificat de atribuţiile şi de reprezentativitatea acestora, respectiv a populaţiei UAT-urilor. Consiliul Local, prin responsabilităţile sale de mediator şi catalizator al vieţii economice şi sociale, are îndatoriri ce privesc, printre altele, strategii privind dezvoltarea economic</w:t>
      </w:r>
      <w:r w:rsidRPr="00BD7C22">
        <w:rPr>
          <w:rFonts w:ascii="Trebuchet MS" w:hAnsi="Trebuchet MS" w:cs="Trebuchet MS"/>
          <w:lang w:val="tr-TR"/>
        </w:rPr>
        <w:t>ã, socialã şi de mediu a localit</w:t>
      </w:r>
      <w:r w:rsidRPr="00BD7C22">
        <w:rPr>
          <w:rFonts w:ascii="Trebuchet MS" w:hAnsi="Trebuchet MS" w:cs="Trebuchet MS"/>
          <w:lang w:val="x-none"/>
        </w:rPr>
        <w:t>ății, furnizarea serviciilor publice de interes local privind: educația, serviciile sociale pentru protecția copilului, a persoanelor cu handicap, a persoanelor vârstnice, a familiei şi a altor persoane sau grupuri aflate în nevoie socială; sănătatea; cultura; tineretul; sportul; ordinea publică; situațiile de urgenţă; protecția şi refacerea mediului înconjurător; conservarea, restaurarea şi punerea în valoare a monumentelor istorice şi de arhitectură, a parcurilor, grădinilor publice şi rezervațiilor naturale.</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p>
    <w:p w:rsidR="00104873" w:rsidRPr="00BD7C22" w:rsidRDefault="00104873" w:rsidP="00104873">
      <w:pPr>
        <w:autoSpaceDE w:val="0"/>
        <w:autoSpaceDN w:val="0"/>
        <w:adjustRightInd w:val="0"/>
        <w:spacing w:after="0"/>
        <w:jc w:val="both"/>
        <w:rPr>
          <w:rFonts w:ascii="Trebuchet MS" w:hAnsi="Trebuchet MS" w:cs="Trebuchet MS"/>
          <w:b/>
          <w:bCs/>
          <w:lang w:val="x-none"/>
        </w:rPr>
      </w:pPr>
      <w:r w:rsidRPr="00BD7C22">
        <w:rPr>
          <w:rFonts w:ascii="Trebuchet MS" w:hAnsi="Trebuchet MS" w:cs="Trebuchet MS"/>
          <w:b/>
          <w:bCs/>
          <w:lang w:val="x-none"/>
        </w:rPr>
        <w:t>SECTORUL PRIVAT:</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 xml:space="preserve">Este reprezentat de 29 parteneri, majoritatea PFA, dar şi Întreprinderi Individuale, SRL-uri din localitãţile membre, care prin titularii sau </w:t>
      </w:r>
      <w:r w:rsidRPr="00BD7C22">
        <w:rPr>
          <w:rFonts w:ascii="Trebuchet MS" w:hAnsi="Trebuchet MS" w:cs="Trebuchet MS"/>
          <w:lang w:val="tr-TR"/>
        </w:rPr>
        <w:t>administratorii lor, dovedesc interes şi implicare în dezvoltarea teritoriului prin prisma activitã</w:t>
      </w:r>
      <w:r w:rsidRPr="00BD7C22">
        <w:rPr>
          <w:rFonts w:ascii="Trebuchet MS" w:hAnsi="Trebuchet MS" w:cs="Trebuchet MS"/>
          <w:lang w:val="x-none"/>
        </w:rPr>
        <w:t xml:space="preserve">ţii proprii, dezvoltãrii afacerilor prin accesarea de finanţãri europene, disponibilitãţii pentru participarea la viaţa asociativã. </w:t>
      </w:r>
    </w:p>
    <w:p w:rsidR="00104873" w:rsidRPr="00BD7C22" w:rsidRDefault="00104873" w:rsidP="00104873">
      <w:pPr>
        <w:autoSpaceDE w:val="0"/>
        <w:autoSpaceDN w:val="0"/>
        <w:adjustRightInd w:val="0"/>
        <w:spacing w:after="0"/>
        <w:jc w:val="both"/>
        <w:rPr>
          <w:rFonts w:ascii="Trebuchet MS" w:hAnsi="Trebuchet MS" w:cs="Trebuchet MS"/>
          <w:lang w:val="x-none"/>
        </w:rPr>
      </w:pPr>
      <w:r w:rsidRPr="00BD7C22">
        <w:rPr>
          <w:rFonts w:ascii="Trebuchet MS" w:hAnsi="Trebuchet MS" w:cs="Trebuchet MS"/>
          <w:lang w:val="x-none"/>
        </w:rPr>
        <w:t>Sectoarele de activitate ale partenerilor privaţi sunt: culturã vegetalã combinatã cu creșterea animalelor, alimentaţie publică, servicii medicale, transport, agroturism, prelucrarea lemnului, lucrări de construcţii, service auto.</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Prin prezenţa lor în forme parteneriale cu sectorul public, reprezentanţii sectorului privat aduc o contribuţie importantă la soluţionarea diverselor probleme comunitare. Interesele sectorului privat se reunesc pentru a rãspunde unor</w:t>
      </w:r>
      <w:r w:rsidRPr="00BD7C22">
        <w:rPr>
          <w:rFonts w:ascii="Trebuchet MS" w:hAnsi="Trebuchet MS" w:cs="Trebuchet MS"/>
          <w:lang w:val="tr-TR"/>
        </w:rPr>
        <w:t xml:space="preserve"> provocãri şi oportunitã</w:t>
      </w:r>
      <w:r w:rsidRPr="00BD7C22">
        <w:rPr>
          <w:rFonts w:ascii="Trebuchet MS" w:hAnsi="Trebuchet MS" w:cs="Trebuchet MS"/>
          <w:lang w:val="x-none"/>
        </w:rPr>
        <w:t>ţi. Prin capacitatea de organizare şi planificare, viziunea şi realismul, întreprinz</w:t>
      </w:r>
      <w:r w:rsidRPr="00BD7C22">
        <w:rPr>
          <w:rFonts w:ascii="Trebuchet MS" w:hAnsi="Trebuchet MS" w:cs="Trebuchet MS"/>
          <w:lang w:val="tr-TR"/>
        </w:rPr>
        <w:t>ãtorii contribuie la anticiparea şi recunoaşterea oportunit</w:t>
      </w:r>
      <w:r w:rsidRPr="00BD7C22">
        <w:rPr>
          <w:rFonts w:ascii="Trebuchet MS" w:hAnsi="Trebuchet MS" w:cs="Trebuchet MS"/>
          <w:lang w:val="x-none"/>
        </w:rPr>
        <w:t>ăţilor pieţei, la valorificarea resurselor, la soluţii pentru modificarea metodelor şi obiectivelor, la inovare.</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p>
    <w:p w:rsidR="00104873" w:rsidRPr="00BD7C22" w:rsidRDefault="00104873" w:rsidP="00104873">
      <w:pPr>
        <w:autoSpaceDE w:val="0"/>
        <w:autoSpaceDN w:val="0"/>
        <w:adjustRightInd w:val="0"/>
        <w:spacing w:after="0"/>
        <w:jc w:val="both"/>
        <w:rPr>
          <w:rFonts w:ascii="Trebuchet MS" w:hAnsi="Trebuchet MS" w:cs="Trebuchet MS"/>
          <w:b/>
          <w:bCs/>
          <w:lang w:val="x-none"/>
        </w:rPr>
      </w:pPr>
      <w:r w:rsidRPr="00BD7C22">
        <w:rPr>
          <w:rFonts w:ascii="Trebuchet MS" w:hAnsi="Trebuchet MS" w:cs="Trebuchet MS"/>
          <w:b/>
          <w:bCs/>
          <w:lang w:val="x-none"/>
        </w:rPr>
        <w:t>SECTORUL SOCIETATE CIVILĂ:</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lastRenderedPageBreak/>
        <w:t xml:space="preserve">Este reprezentat de 7 parteneri, 3 asociaţii, 3 unităţi de cult, o persoană fizică, din localitãţile member. Este un sector important, caracterizat prin mobilitate în ceea ce priveşte modul şi direcţiile de acţiune, pentru reprezentarea intereselor grupurilor, non-profit, de dezvoltare în diversele domenii ale societãţii civile. </w:t>
      </w:r>
    </w:p>
    <w:p w:rsidR="00104873" w:rsidRPr="00BD7C22" w:rsidRDefault="00104873" w:rsidP="00104873">
      <w:pPr>
        <w:autoSpaceDE w:val="0"/>
        <w:autoSpaceDN w:val="0"/>
        <w:adjustRightInd w:val="0"/>
        <w:spacing w:after="0"/>
        <w:ind w:firstLine="285"/>
        <w:jc w:val="both"/>
        <w:rPr>
          <w:rFonts w:ascii="Trebuchet MS" w:hAnsi="Trebuchet MS" w:cs="Trebuchet MS"/>
          <w:color w:val="000000"/>
          <w:lang w:val="x-none"/>
        </w:rPr>
      </w:pPr>
      <w:r w:rsidRPr="00BD7C22">
        <w:rPr>
          <w:rFonts w:ascii="Trebuchet MS" w:hAnsi="Trebuchet MS" w:cs="Trebuchet MS"/>
          <w:lang w:val="x-none"/>
        </w:rPr>
        <w:t>Domeniile de activitate ale ONG-urilor partenere sunt: o</w:t>
      </w:r>
      <w:r w:rsidRPr="00BD7C22">
        <w:rPr>
          <w:rFonts w:ascii="Trebuchet MS" w:hAnsi="Trebuchet MS" w:cs="Trebuchet MS"/>
          <w:color w:val="000000"/>
          <w:lang w:val="x-none"/>
        </w:rPr>
        <w:t>rganizare de acţiuni umanitare, sociale şi culturale, activităţi de apărare a intereselor crescătorilor de animale, activităţi de apărare a intereselor proprietarilor.</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ONG-urile sunt recunoscute ca actori importanți în procesul de consolidare a democrației și de construire a unei societăți civile active, capabilă să-și susțină interesele. Prin intermediul lor, cetățenii sunt reprezentați și participă la guvernare, în cazul nostru, la guvernarea teritorialã.</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Prin participarea la scrierea Strategiei de Dezvoltare Localã a teritoriului, ONG-urile sunt o portavoce prin care gr</w:t>
      </w:r>
      <w:r w:rsidRPr="00BD7C22">
        <w:rPr>
          <w:rFonts w:ascii="Trebuchet MS" w:hAnsi="Trebuchet MS" w:cs="Trebuchet MS"/>
          <w:lang w:val="tr-TR"/>
        </w:rPr>
        <w:t>upurile pe care le reprezintã își expun nevoile şi contribuie la creșterea nivelului de participare a cet</w:t>
      </w:r>
      <w:r w:rsidRPr="00BD7C22">
        <w:rPr>
          <w:rFonts w:ascii="Trebuchet MS" w:hAnsi="Trebuchet MS" w:cs="Trebuchet MS"/>
          <w:lang w:val="x-none"/>
        </w:rPr>
        <w:t>ățenilor la procesul de luare a deciziilor.</w:t>
      </w:r>
    </w:p>
    <w:p w:rsidR="00104873" w:rsidRPr="00BD7C22" w:rsidRDefault="00104873" w:rsidP="00104873">
      <w:pPr>
        <w:autoSpaceDE w:val="0"/>
        <w:autoSpaceDN w:val="0"/>
        <w:adjustRightInd w:val="0"/>
        <w:spacing w:after="0"/>
        <w:ind w:firstLine="285"/>
        <w:jc w:val="both"/>
        <w:rPr>
          <w:rFonts w:ascii="Trebuchet MS" w:hAnsi="Trebuchet MS" w:cs="Trebuchet MS"/>
          <w:lang w:val="x-none"/>
        </w:rPr>
      </w:pPr>
      <w:r w:rsidRPr="00BD7C22">
        <w:rPr>
          <w:rFonts w:ascii="Trebuchet MS" w:hAnsi="Trebuchet MS" w:cs="Trebuchet MS"/>
          <w:lang w:val="x-none"/>
        </w:rPr>
        <w:t>În cadrul parteneriatului, existã următoarele forme asociative reprezentative pentru:</w:t>
      </w:r>
    </w:p>
    <w:p w:rsidR="00104873" w:rsidRPr="00BD7C22" w:rsidRDefault="00104873" w:rsidP="00104873">
      <w:pPr>
        <w:spacing w:after="0"/>
        <w:ind w:firstLine="284"/>
        <w:jc w:val="both"/>
        <w:rPr>
          <w:rFonts w:ascii="Trebuchet MS" w:hAnsi="Trebuchet MS"/>
        </w:rPr>
      </w:pPr>
    </w:p>
    <w:tbl>
      <w:tblPr>
        <w:tblStyle w:val="TableGrid"/>
        <w:tblW w:w="0" w:type="auto"/>
        <w:tblLook w:val="04A0" w:firstRow="1" w:lastRow="0" w:firstColumn="1" w:lastColumn="0" w:noHBand="0" w:noVBand="1"/>
      </w:tblPr>
      <w:tblGrid>
        <w:gridCol w:w="671"/>
        <w:gridCol w:w="2957"/>
        <w:gridCol w:w="2178"/>
        <w:gridCol w:w="3210"/>
      </w:tblGrid>
      <w:tr w:rsidR="00104873" w:rsidRPr="00BD7C22" w:rsidTr="00EE3F5F">
        <w:trPr>
          <w:trHeight w:val="511"/>
        </w:trPr>
        <w:tc>
          <w:tcPr>
            <w:tcW w:w="675" w:type="dxa"/>
            <w:shd w:val="clear" w:color="auto" w:fill="C9C9C9" w:themeFill="accent3" w:themeFillTint="99"/>
            <w:vAlign w:val="center"/>
          </w:tcPr>
          <w:p w:rsidR="00104873" w:rsidRPr="00BD7C22" w:rsidRDefault="00104873" w:rsidP="00EE3F5F">
            <w:pPr>
              <w:spacing w:line="276" w:lineRule="auto"/>
              <w:jc w:val="center"/>
              <w:rPr>
                <w:rFonts w:ascii="Trebuchet MS" w:hAnsi="Trebuchet MS"/>
                <w:b/>
              </w:rPr>
            </w:pPr>
            <w:r w:rsidRPr="00BD7C22">
              <w:rPr>
                <w:rFonts w:ascii="Trebuchet MS" w:hAnsi="Trebuchet MS"/>
                <w:b/>
              </w:rPr>
              <w:t>Nr. crt.</w:t>
            </w:r>
          </w:p>
        </w:tc>
        <w:tc>
          <w:tcPr>
            <w:tcW w:w="3032" w:type="dxa"/>
            <w:shd w:val="clear" w:color="auto" w:fill="C9C9C9" w:themeFill="accent3" w:themeFillTint="99"/>
            <w:vAlign w:val="center"/>
          </w:tcPr>
          <w:p w:rsidR="00104873" w:rsidRPr="00BD7C22" w:rsidRDefault="00104873" w:rsidP="00EE3F5F">
            <w:pPr>
              <w:spacing w:line="276" w:lineRule="auto"/>
              <w:jc w:val="center"/>
              <w:rPr>
                <w:rFonts w:ascii="Trebuchet MS" w:hAnsi="Trebuchet MS"/>
                <w:b/>
              </w:rPr>
            </w:pPr>
            <w:r w:rsidRPr="00BD7C22">
              <w:rPr>
                <w:rFonts w:ascii="Trebuchet MS" w:hAnsi="Trebuchet MS"/>
                <w:b/>
              </w:rPr>
              <w:t>Denumire entitate</w:t>
            </w:r>
          </w:p>
        </w:tc>
        <w:tc>
          <w:tcPr>
            <w:tcW w:w="2246" w:type="dxa"/>
            <w:shd w:val="clear" w:color="auto" w:fill="C9C9C9" w:themeFill="accent3" w:themeFillTint="99"/>
            <w:vAlign w:val="center"/>
          </w:tcPr>
          <w:p w:rsidR="00104873" w:rsidRPr="00BD7C22" w:rsidRDefault="00104873" w:rsidP="00EE3F5F">
            <w:pPr>
              <w:spacing w:line="276" w:lineRule="auto"/>
              <w:jc w:val="center"/>
              <w:rPr>
                <w:rFonts w:ascii="Trebuchet MS" w:hAnsi="Trebuchet MS"/>
                <w:b/>
              </w:rPr>
            </w:pPr>
            <w:r w:rsidRPr="00BD7C22">
              <w:rPr>
                <w:rFonts w:ascii="Trebuchet MS" w:hAnsi="Trebuchet MS"/>
                <w:b/>
              </w:rPr>
              <w:t>Sediul</w:t>
            </w:r>
          </w:p>
        </w:tc>
        <w:tc>
          <w:tcPr>
            <w:tcW w:w="3290" w:type="dxa"/>
            <w:shd w:val="clear" w:color="auto" w:fill="C9C9C9" w:themeFill="accent3" w:themeFillTint="99"/>
            <w:vAlign w:val="center"/>
          </w:tcPr>
          <w:p w:rsidR="00104873" w:rsidRPr="00BD7C22" w:rsidRDefault="00104873" w:rsidP="00EE3F5F">
            <w:pPr>
              <w:spacing w:line="276" w:lineRule="auto"/>
              <w:jc w:val="center"/>
              <w:rPr>
                <w:rFonts w:ascii="Trebuchet MS" w:hAnsi="Trebuchet MS"/>
                <w:b/>
              </w:rPr>
            </w:pPr>
            <w:r w:rsidRPr="00BD7C22">
              <w:rPr>
                <w:rFonts w:ascii="Trebuchet MS" w:hAnsi="Trebuchet MS"/>
                <w:b/>
              </w:rPr>
              <w:t>Domeniu reprezentativ</w:t>
            </w:r>
          </w:p>
        </w:tc>
      </w:tr>
      <w:tr w:rsidR="00104873" w:rsidRPr="009F4546" w:rsidTr="00EE3F5F">
        <w:trPr>
          <w:trHeight w:val="255"/>
        </w:trPr>
        <w:tc>
          <w:tcPr>
            <w:tcW w:w="675" w:type="dxa"/>
            <w:vAlign w:val="center"/>
          </w:tcPr>
          <w:p w:rsidR="00104873" w:rsidRPr="00BD7C22" w:rsidRDefault="00104873" w:rsidP="00EE3F5F">
            <w:pPr>
              <w:spacing w:line="276" w:lineRule="auto"/>
              <w:jc w:val="center"/>
              <w:rPr>
                <w:rFonts w:ascii="Trebuchet MS" w:hAnsi="Trebuchet MS"/>
              </w:rPr>
            </w:pPr>
            <w:r w:rsidRPr="00BD7C22">
              <w:rPr>
                <w:rFonts w:ascii="Trebuchet MS" w:hAnsi="Trebuchet MS"/>
              </w:rPr>
              <w:t>1.</w:t>
            </w:r>
          </w:p>
        </w:tc>
        <w:tc>
          <w:tcPr>
            <w:tcW w:w="3032" w:type="dxa"/>
            <w:vAlign w:val="center"/>
          </w:tcPr>
          <w:p w:rsidR="00104873" w:rsidRPr="009F4546" w:rsidRDefault="00104873" w:rsidP="00EE3F5F">
            <w:pPr>
              <w:spacing w:line="276" w:lineRule="auto"/>
              <w:jc w:val="center"/>
              <w:rPr>
                <w:rFonts w:ascii="Trebuchet MS" w:eastAsia="Calibri" w:hAnsi="Trebuchet MS" w:cs="Times New Roman"/>
                <w:color w:val="000000"/>
                <w:lang w:val="es-ES"/>
              </w:rPr>
            </w:pPr>
            <w:r w:rsidRPr="009F4546">
              <w:rPr>
                <w:rFonts w:ascii="Trebuchet MS" w:eastAsia="Calibri" w:hAnsi="Trebuchet MS" w:cs="Times New Roman"/>
                <w:color w:val="000000"/>
                <w:lang w:val="es-ES"/>
              </w:rPr>
              <w:t>Asociația Crescătorilor de Animale BOTIZA</w:t>
            </w:r>
          </w:p>
        </w:tc>
        <w:tc>
          <w:tcPr>
            <w:tcW w:w="2246" w:type="dxa"/>
            <w:vAlign w:val="center"/>
          </w:tcPr>
          <w:p w:rsidR="00104873" w:rsidRPr="00BD7C22" w:rsidRDefault="00104873" w:rsidP="00EE3F5F">
            <w:pPr>
              <w:spacing w:line="276" w:lineRule="auto"/>
              <w:jc w:val="center"/>
              <w:rPr>
                <w:rFonts w:ascii="Trebuchet MS" w:eastAsia="Calibri" w:hAnsi="Trebuchet MS" w:cs="Times New Roman"/>
                <w:color w:val="000000"/>
              </w:rPr>
            </w:pPr>
            <w:r w:rsidRPr="00BD7C22">
              <w:rPr>
                <w:rFonts w:ascii="Trebuchet MS" w:eastAsia="Calibri" w:hAnsi="Trebuchet MS" w:cs="Times New Roman"/>
                <w:color w:val="000000"/>
              </w:rPr>
              <w:t>Botiza</w:t>
            </w:r>
          </w:p>
        </w:tc>
        <w:tc>
          <w:tcPr>
            <w:tcW w:w="3290" w:type="dxa"/>
            <w:vAlign w:val="center"/>
          </w:tcPr>
          <w:p w:rsidR="00104873" w:rsidRPr="009F4546" w:rsidRDefault="00104873" w:rsidP="00EE3F5F">
            <w:pPr>
              <w:spacing w:line="276" w:lineRule="auto"/>
              <w:jc w:val="center"/>
              <w:rPr>
                <w:rFonts w:ascii="Trebuchet MS" w:eastAsia="Calibri" w:hAnsi="Trebuchet MS" w:cs="Times New Roman"/>
                <w:color w:val="000000"/>
                <w:lang w:val="es-ES"/>
              </w:rPr>
            </w:pPr>
            <w:r w:rsidRPr="009F4546">
              <w:rPr>
                <w:rFonts w:ascii="Trebuchet MS" w:eastAsia="Calibri" w:hAnsi="Trebuchet MS" w:cs="Times New Roman"/>
                <w:color w:val="000000"/>
                <w:lang w:val="es-ES"/>
              </w:rPr>
              <w:t>Activități de apărare a intereselor crescătorilor de animale</w:t>
            </w:r>
          </w:p>
        </w:tc>
      </w:tr>
      <w:tr w:rsidR="00104873" w:rsidRPr="00BD7C22" w:rsidTr="00EE3F5F">
        <w:trPr>
          <w:trHeight w:val="255"/>
        </w:trPr>
        <w:tc>
          <w:tcPr>
            <w:tcW w:w="675" w:type="dxa"/>
            <w:vAlign w:val="center"/>
          </w:tcPr>
          <w:p w:rsidR="00104873" w:rsidRPr="00BD7C22" w:rsidRDefault="00104873" w:rsidP="00EE3F5F">
            <w:pPr>
              <w:spacing w:line="276" w:lineRule="auto"/>
              <w:jc w:val="center"/>
              <w:rPr>
                <w:rFonts w:ascii="Trebuchet MS" w:eastAsia="Calibri" w:hAnsi="Trebuchet MS" w:cs="Times New Roman"/>
                <w:color w:val="000000"/>
              </w:rPr>
            </w:pPr>
            <w:r w:rsidRPr="00BD7C22">
              <w:rPr>
                <w:rFonts w:ascii="Trebuchet MS" w:eastAsia="Calibri" w:hAnsi="Trebuchet MS" w:cs="Times New Roman"/>
                <w:color w:val="000000"/>
              </w:rPr>
              <w:t>2.</w:t>
            </w:r>
          </w:p>
        </w:tc>
        <w:tc>
          <w:tcPr>
            <w:tcW w:w="3032" w:type="dxa"/>
            <w:vAlign w:val="center"/>
          </w:tcPr>
          <w:p w:rsidR="00104873" w:rsidRPr="009F4546" w:rsidRDefault="00104873" w:rsidP="00EE3F5F">
            <w:pPr>
              <w:spacing w:line="276" w:lineRule="auto"/>
              <w:jc w:val="center"/>
              <w:rPr>
                <w:rFonts w:ascii="Trebuchet MS" w:hAnsi="Trebuchet MS" w:cs="Arial"/>
                <w:lang w:val="es-ES"/>
              </w:rPr>
            </w:pPr>
            <w:r w:rsidRPr="009F4546">
              <w:rPr>
                <w:rFonts w:ascii="Trebuchet MS" w:hAnsi="Trebuchet MS" w:cs="Arial"/>
                <w:lang w:val="es-ES"/>
              </w:rPr>
              <w:t>ASOCIAȚIA DE PROPRIETARI MOISEI-VALEA IZEI</w:t>
            </w:r>
          </w:p>
        </w:tc>
        <w:tc>
          <w:tcPr>
            <w:tcW w:w="2246" w:type="dxa"/>
            <w:vAlign w:val="center"/>
          </w:tcPr>
          <w:p w:rsidR="00104873" w:rsidRPr="00BD7C22" w:rsidRDefault="00104873" w:rsidP="00EE3F5F">
            <w:pPr>
              <w:spacing w:line="276" w:lineRule="auto"/>
              <w:jc w:val="center"/>
              <w:rPr>
                <w:rFonts w:ascii="Trebuchet MS" w:eastAsia="Calibri" w:hAnsi="Trebuchet MS" w:cs="Times New Roman"/>
                <w:color w:val="000000"/>
              </w:rPr>
            </w:pPr>
            <w:r w:rsidRPr="00BD7C22">
              <w:rPr>
                <w:rFonts w:ascii="Trebuchet MS" w:eastAsia="Calibri" w:hAnsi="Trebuchet MS" w:cs="Times New Roman"/>
                <w:color w:val="000000"/>
              </w:rPr>
              <w:t>Moisei</w:t>
            </w:r>
          </w:p>
        </w:tc>
        <w:tc>
          <w:tcPr>
            <w:tcW w:w="3290" w:type="dxa"/>
            <w:vAlign w:val="center"/>
          </w:tcPr>
          <w:p w:rsidR="00104873" w:rsidRPr="00BD7C22" w:rsidRDefault="00104873" w:rsidP="00EE3F5F">
            <w:pPr>
              <w:spacing w:line="276" w:lineRule="auto"/>
              <w:jc w:val="center"/>
              <w:rPr>
                <w:rFonts w:ascii="Trebuchet MS" w:eastAsia="Calibri" w:hAnsi="Trebuchet MS" w:cs="Times New Roman"/>
                <w:color w:val="000000"/>
              </w:rPr>
            </w:pPr>
            <w:r w:rsidRPr="00BD7C22">
              <w:rPr>
                <w:rFonts w:ascii="Trebuchet MS" w:eastAsia="Calibri" w:hAnsi="Trebuchet MS" w:cs="Times New Roman"/>
                <w:color w:val="000000"/>
              </w:rPr>
              <w:t>Activități sociale</w:t>
            </w:r>
          </w:p>
        </w:tc>
      </w:tr>
      <w:tr w:rsidR="00104873" w:rsidRPr="00BD7C22" w:rsidTr="00EE3F5F">
        <w:trPr>
          <w:trHeight w:val="255"/>
        </w:trPr>
        <w:tc>
          <w:tcPr>
            <w:tcW w:w="675" w:type="dxa"/>
            <w:vAlign w:val="center"/>
          </w:tcPr>
          <w:p w:rsidR="00104873" w:rsidRPr="00BD7C22" w:rsidRDefault="00104873" w:rsidP="00EE3F5F">
            <w:pPr>
              <w:spacing w:line="276" w:lineRule="auto"/>
              <w:jc w:val="center"/>
              <w:rPr>
                <w:rFonts w:ascii="Trebuchet MS" w:eastAsia="Calibri" w:hAnsi="Trebuchet MS" w:cs="Times New Roman"/>
                <w:color w:val="000000"/>
              </w:rPr>
            </w:pPr>
            <w:r w:rsidRPr="00BD7C22">
              <w:rPr>
                <w:rFonts w:ascii="Trebuchet MS" w:eastAsia="Calibri" w:hAnsi="Trebuchet MS" w:cs="Times New Roman"/>
                <w:color w:val="000000"/>
              </w:rPr>
              <w:t>3.</w:t>
            </w:r>
          </w:p>
        </w:tc>
        <w:tc>
          <w:tcPr>
            <w:tcW w:w="3032" w:type="dxa"/>
            <w:vAlign w:val="center"/>
          </w:tcPr>
          <w:p w:rsidR="00104873" w:rsidRPr="00BD7C22" w:rsidRDefault="00104873" w:rsidP="00EE3F5F">
            <w:pPr>
              <w:spacing w:line="276" w:lineRule="auto"/>
              <w:jc w:val="center"/>
              <w:rPr>
                <w:rFonts w:ascii="Trebuchet MS" w:eastAsia="Calibri" w:hAnsi="Trebuchet MS" w:cs="Times New Roman"/>
                <w:color w:val="000000"/>
              </w:rPr>
            </w:pPr>
            <w:r w:rsidRPr="00BD7C22">
              <w:rPr>
                <w:rFonts w:ascii="Trebuchet MS" w:hAnsi="Trebuchet MS" w:cs="Arial"/>
              </w:rPr>
              <w:t>FUNDAȚIA OȘANUL</w:t>
            </w:r>
          </w:p>
        </w:tc>
        <w:tc>
          <w:tcPr>
            <w:tcW w:w="2246" w:type="dxa"/>
            <w:vAlign w:val="center"/>
          </w:tcPr>
          <w:p w:rsidR="00104873" w:rsidRPr="00BD7C22" w:rsidRDefault="00104873" w:rsidP="00EE3F5F">
            <w:pPr>
              <w:spacing w:line="276" w:lineRule="auto"/>
              <w:jc w:val="center"/>
              <w:rPr>
                <w:rFonts w:ascii="Trebuchet MS" w:eastAsia="Calibri" w:hAnsi="Trebuchet MS" w:cs="Times New Roman"/>
                <w:color w:val="000000"/>
              </w:rPr>
            </w:pPr>
            <w:r w:rsidRPr="00BD7C22">
              <w:rPr>
                <w:rFonts w:ascii="Trebuchet MS" w:eastAsia="Calibri" w:hAnsi="Trebuchet MS" w:cs="Times New Roman"/>
                <w:color w:val="000000"/>
              </w:rPr>
              <w:t>Moisei</w:t>
            </w:r>
          </w:p>
        </w:tc>
        <w:tc>
          <w:tcPr>
            <w:tcW w:w="3290" w:type="dxa"/>
            <w:vAlign w:val="center"/>
          </w:tcPr>
          <w:p w:rsidR="00104873" w:rsidRPr="00BD7C22" w:rsidRDefault="00104873" w:rsidP="00EE3F5F">
            <w:pPr>
              <w:spacing w:line="276" w:lineRule="auto"/>
              <w:jc w:val="center"/>
              <w:rPr>
                <w:rFonts w:ascii="Trebuchet MS" w:eastAsia="Calibri" w:hAnsi="Trebuchet MS" w:cs="Times New Roman"/>
                <w:color w:val="000000"/>
              </w:rPr>
            </w:pPr>
            <w:r w:rsidRPr="00BD7C22">
              <w:rPr>
                <w:rFonts w:ascii="Trebuchet MS" w:eastAsia="Calibri" w:hAnsi="Trebuchet MS" w:cs="Times New Roman"/>
                <w:color w:val="000000"/>
              </w:rPr>
              <w:t>Activități sociale</w:t>
            </w:r>
          </w:p>
        </w:tc>
      </w:tr>
    </w:tbl>
    <w:p w:rsidR="00104873" w:rsidRPr="00BD7C22" w:rsidRDefault="00104873" w:rsidP="00104873">
      <w:pPr>
        <w:pStyle w:val="Default"/>
        <w:spacing w:line="276" w:lineRule="auto"/>
        <w:jc w:val="both"/>
        <w:rPr>
          <w:color w:val="FF0000"/>
          <w:sz w:val="22"/>
          <w:szCs w:val="22"/>
        </w:rPr>
      </w:pPr>
    </w:p>
    <w:p w:rsidR="00B04117" w:rsidRPr="009F4546" w:rsidRDefault="00104873" w:rsidP="00104873">
      <w:pPr>
        <w:rPr>
          <w:lang w:val="es-ES"/>
        </w:rPr>
      </w:pPr>
      <w:r w:rsidRPr="00BD7C22">
        <w:rPr>
          <w:rFonts w:ascii="Trebuchet MS" w:hAnsi="Trebuchet MS" w:cs="Trebuchet MS"/>
          <w:lang w:val="x-none"/>
        </w:rPr>
        <w:t>Implicarea actorilor locali în dezvoltarea zonei va contribui la realizarea unei dezvoltări dinamice şi durabile. Strategia de dezvoltare locală, elaborată şi administrată de GAL va asigura implementarea unui demers participativ în teritoriu.</w:t>
      </w:r>
    </w:p>
    <w:sectPr w:rsidR="00B04117" w:rsidRPr="009F45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C4" w:rsidRDefault="003A33C4" w:rsidP="00764E9A">
      <w:pPr>
        <w:spacing w:after="0" w:line="240" w:lineRule="auto"/>
      </w:pPr>
      <w:r>
        <w:separator/>
      </w:r>
    </w:p>
  </w:endnote>
  <w:endnote w:type="continuationSeparator" w:id="0">
    <w:p w:rsidR="003A33C4" w:rsidRDefault="003A33C4" w:rsidP="0076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C4" w:rsidRDefault="003A33C4" w:rsidP="00764E9A">
      <w:pPr>
        <w:spacing w:after="0" w:line="240" w:lineRule="auto"/>
      </w:pPr>
      <w:r>
        <w:separator/>
      </w:r>
    </w:p>
  </w:footnote>
  <w:footnote w:type="continuationSeparator" w:id="0">
    <w:p w:rsidR="003A33C4" w:rsidRDefault="003A33C4" w:rsidP="00764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7A4"/>
    <w:multiLevelType w:val="multilevel"/>
    <w:tmpl w:val="6F1CEE48"/>
    <w:lvl w:ilvl="0">
      <w:start w:val="1"/>
      <w:numFmt w:val="decimal"/>
      <w:lvlText w:val="%1."/>
      <w:lvlJc w:val="left"/>
      <w:pPr>
        <w:tabs>
          <w:tab w:val="num" w:pos="720"/>
        </w:tabs>
        <w:ind w:left="720" w:hanging="360"/>
      </w:pPr>
      <w:rPr>
        <w:rFonts w:ascii="Times New Roman" w:hAnsi="Times New Roman" w:cs="Times New Roman"/>
        <w:b/>
        <w:bCs/>
        <w:color w:val="auto"/>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5EC0414A"/>
    <w:multiLevelType w:val="multilevel"/>
    <w:tmpl w:val="D99CBD8C"/>
    <w:lvl w:ilvl="0">
      <w:start w:val="1"/>
      <w:numFmt w:val="bullet"/>
      <w:lvlText w:val="•"/>
      <w:lvlJc w:val="left"/>
      <w:pPr>
        <w:tabs>
          <w:tab w:val="num" w:pos="720"/>
        </w:tabs>
        <w:ind w:left="720" w:hanging="360"/>
      </w:pPr>
      <w:rPr>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6B"/>
    <w:rsid w:val="00104873"/>
    <w:rsid w:val="00313186"/>
    <w:rsid w:val="003A33C4"/>
    <w:rsid w:val="004602F0"/>
    <w:rsid w:val="00764E9A"/>
    <w:rsid w:val="009F4546"/>
    <w:rsid w:val="00B04117"/>
    <w:rsid w:val="00D6126F"/>
    <w:rsid w:val="00FC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F2308-420C-4FA9-9F21-C69EF575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764E9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04873"/>
    <w:pPr>
      <w:autoSpaceDE w:val="0"/>
      <w:autoSpaceDN w:val="0"/>
      <w:adjustRightInd w:val="0"/>
      <w:spacing w:after="0" w:line="240" w:lineRule="auto"/>
    </w:pPr>
    <w:rPr>
      <w:rFonts w:ascii="Trebuchet MS" w:eastAsiaTheme="minorEastAsia" w:hAnsi="Trebuchet MS" w:cs="Trebuchet MS"/>
      <w:color w:val="000000"/>
      <w:sz w:val="24"/>
      <w:szCs w:val="24"/>
      <w:lang w:val="en-US"/>
    </w:rPr>
  </w:style>
  <w:style w:type="table" w:styleId="TableGrid">
    <w:name w:val="Table Grid"/>
    <w:basedOn w:val="TableNormal"/>
    <w:uiPriority w:val="1"/>
    <w:rsid w:val="0010487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2018-07-10T06:43:00Z</dcterms:created>
  <dcterms:modified xsi:type="dcterms:W3CDTF">2018-07-10T06:43:00Z</dcterms:modified>
</cp:coreProperties>
</file>