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8F" w:rsidRDefault="0004348F">
      <w:bookmarkStart w:id="0" w:name="_GoBack"/>
      <w:bookmarkEnd w:id="0"/>
    </w:p>
    <w:p w:rsidR="008C0568" w:rsidRDefault="008C0568"/>
    <w:p w:rsidR="008C0568" w:rsidRDefault="008C0568"/>
    <w:p w:rsidR="008C0568" w:rsidRDefault="008C056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6"/>
        <w:gridCol w:w="1582"/>
      </w:tblGrid>
      <w:tr w:rsidR="00474FAE" w:rsidRPr="00845BE0" w:rsidTr="002F3157">
        <w:tc>
          <w:tcPr>
            <w:tcW w:w="8336" w:type="dxa"/>
            <w:tcBorders>
              <w:top w:val="single" w:sz="12" w:space="0" w:color="auto"/>
              <w:left w:val="single" w:sz="12" w:space="0" w:color="auto"/>
              <w:bottom w:val="single" w:sz="12" w:space="0" w:color="auto"/>
              <w:right w:val="single" w:sz="12" w:space="0" w:color="auto"/>
            </w:tcBorders>
            <w:shd w:val="clear" w:color="auto" w:fill="auto"/>
          </w:tcPr>
          <w:p w:rsidR="00474FAE" w:rsidRPr="00845BE0" w:rsidRDefault="00474FAE" w:rsidP="002F3157">
            <w:pPr>
              <w:autoSpaceDE w:val="0"/>
              <w:autoSpaceDN w:val="0"/>
              <w:adjustRightInd w:val="0"/>
              <w:rPr>
                <w:rFonts w:ascii="Arial Narrow" w:hAnsi="Arial Narrow"/>
                <w:b/>
                <w:bCs/>
                <w:sz w:val="24"/>
                <w:szCs w:val="24"/>
              </w:rPr>
            </w:pPr>
          </w:p>
          <w:p w:rsidR="00474FAE" w:rsidRPr="00845BE0" w:rsidRDefault="00474FAE" w:rsidP="002F3157">
            <w:pPr>
              <w:autoSpaceDE w:val="0"/>
              <w:autoSpaceDN w:val="0"/>
              <w:adjustRightInd w:val="0"/>
              <w:jc w:val="center"/>
              <w:rPr>
                <w:rFonts w:ascii="Arial Narrow" w:hAnsi="Arial Narrow"/>
                <w:b/>
                <w:bCs/>
                <w:sz w:val="24"/>
                <w:szCs w:val="24"/>
              </w:rPr>
            </w:pPr>
            <w:r w:rsidRPr="00845BE0">
              <w:rPr>
                <w:rFonts w:ascii="Arial Narrow" w:hAnsi="Arial Narrow"/>
                <w:b/>
                <w:bCs/>
                <w:sz w:val="24"/>
                <w:szCs w:val="24"/>
                <w:lang w:val="x-none"/>
              </w:rPr>
              <w:t xml:space="preserve">Asociaţia </w:t>
            </w:r>
            <w:r w:rsidRPr="00845BE0">
              <w:rPr>
                <w:rFonts w:ascii="Arial Narrow" w:hAnsi="Arial Narrow"/>
                <w:b/>
                <w:bCs/>
                <w:sz w:val="24"/>
                <w:szCs w:val="24"/>
              </w:rPr>
              <w:t>GALViM</w:t>
            </w:r>
          </w:p>
          <w:p w:rsidR="00474FAE" w:rsidRPr="00845BE0" w:rsidRDefault="000D365A" w:rsidP="002F3157">
            <w:pPr>
              <w:autoSpaceDE w:val="0"/>
              <w:autoSpaceDN w:val="0"/>
              <w:adjustRightInd w:val="0"/>
              <w:jc w:val="center"/>
              <w:rPr>
                <w:rFonts w:ascii="Arial Narrow" w:hAnsi="Arial Narrow"/>
                <w:b/>
                <w:bCs/>
                <w:sz w:val="24"/>
                <w:szCs w:val="24"/>
              </w:rPr>
            </w:pPr>
            <w:hyperlink r:id="rId8" w:history="1">
              <w:r w:rsidR="00474FAE" w:rsidRPr="00845BE0">
                <w:rPr>
                  <w:rFonts w:ascii="Arial Narrow" w:hAnsi="Arial Narrow"/>
                  <w:b/>
                  <w:bCs/>
                  <w:color w:val="0000FF"/>
                  <w:sz w:val="24"/>
                  <w:szCs w:val="24"/>
                  <w:u w:val="single"/>
                </w:rPr>
                <w:t>http://galvaleaizeimoisei.ro</w:t>
              </w:r>
            </w:hyperlink>
          </w:p>
          <w:p w:rsidR="00474FAE" w:rsidRPr="00845BE0" w:rsidRDefault="00474FAE" w:rsidP="002F3157">
            <w:pPr>
              <w:autoSpaceDE w:val="0"/>
              <w:autoSpaceDN w:val="0"/>
              <w:adjustRightInd w:val="0"/>
              <w:jc w:val="center"/>
              <w:rPr>
                <w:rFonts w:ascii="Arial Narrow" w:hAnsi="Arial Narrow"/>
                <w:b/>
                <w:bCs/>
                <w:sz w:val="24"/>
                <w:szCs w:val="24"/>
              </w:rPr>
            </w:pPr>
          </w:p>
        </w:tc>
        <w:tc>
          <w:tcPr>
            <w:tcW w:w="1582" w:type="dxa"/>
            <w:tcBorders>
              <w:left w:val="single" w:sz="12" w:space="0" w:color="auto"/>
            </w:tcBorders>
            <w:shd w:val="clear" w:color="auto" w:fill="auto"/>
          </w:tcPr>
          <w:p w:rsidR="00474FAE" w:rsidRPr="00845BE0" w:rsidRDefault="00474FAE" w:rsidP="002F3157">
            <w:pPr>
              <w:autoSpaceDE w:val="0"/>
              <w:autoSpaceDN w:val="0"/>
              <w:adjustRightInd w:val="0"/>
              <w:rPr>
                <w:rFonts w:ascii="Arial Narrow" w:hAnsi="Arial Narrow"/>
                <w:b/>
                <w:bCs/>
                <w:sz w:val="24"/>
                <w:szCs w:val="24"/>
              </w:rPr>
            </w:pPr>
            <w:r w:rsidRPr="00845BE0">
              <w:rPr>
                <w:rFonts w:ascii="Arial Narrow" w:hAnsi="Arial Narrow"/>
                <w:noProof/>
                <w:sz w:val="24"/>
                <w:szCs w:val="24"/>
                <w:lang w:val="en-GB" w:eastAsia="en-GB"/>
              </w:rPr>
              <w:drawing>
                <wp:inline distT="0" distB="0" distL="0" distR="0" wp14:anchorId="5EC5D74C" wp14:editId="66E16FC0">
                  <wp:extent cx="653415" cy="653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p>
        </w:tc>
      </w:tr>
    </w:tbl>
    <w:p w:rsidR="00474FAE" w:rsidRPr="00845BE0" w:rsidRDefault="00474FAE" w:rsidP="00474FAE">
      <w:pPr>
        <w:autoSpaceDE w:val="0"/>
        <w:autoSpaceDN w:val="0"/>
        <w:adjustRightInd w:val="0"/>
        <w:rPr>
          <w:rFonts w:ascii="Arial Narrow" w:hAnsi="Arial Narrow"/>
          <w:b/>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74FAE" w:rsidRPr="00845BE0" w:rsidTr="002F3157">
        <w:tc>
          <w:tcPr>
            <w:tcW w:w="9918" w:type="dxa"/>
            <w:shd w:val="clear" w:color="auto" w:fill="auto"/>
          </w:tcPr>
          <w:p w:rsidR="00474FAE" w:rsidRPr="00845BE0" w:rsidRDefault="00474FAE" w:rsidP="002F3157">
            <w:pPr>
              <w:autoSpaceDE w:val="0"/>
              <w:autoSpaceDN w:val="0"/>
              <w:adjustRightInd w:val="0"/>
              <w:jc w:val="center"/>
              <w:rPr>
                <w:rFonts w:ascii="Arial Narrow" w:hAnsi="Arial Narrow"/>
                <w:b/>
                <w:bCs/>
                <w:sz w:val="24"/>
                <w:szCs w:val="24"/>
              </w:rPr>
            </w:pPr>
            <w:r w:rsidRPr="00845BE0">
              <w:rPr>
                <w:rFonts w:ascii="Arial Narrow" w:hAnsi="Arial Narrow"/>
                <w:b/>
                <w:bCs/>
                <w:sz w:val="24"/>
                <w:szCs w:val="24"/>
              </w:rPr>
              <w:t xml:space="preserve">PNDR </w:t>
            </w:r>
          </w:p>
          <w:p w:rsidR="00474FAE" w:rsidRPr="00845BE0" w:rsidRDefault="00474FAE" w:rsidP="002F3157">
            <w:pPr>
              <w:autoSpaceDE w:val="0"/>
              <w:autoSpaceDN w:val="0"/>
              <w:adjustRightInd w:val="0"/>
              <w:jc w:val="center"/>
              <w:rPr>
                <w:rFonts w:ascii="Arial Narrow" w:hAnsi="Arial Narrow"/>
                <w:b/>
                <w:bCs/>
                <w:sz w:val="24"/>
                <w:szCs w:val="24"/>
              </w:rPr>
            </w:pPr>
            <w:r w:rsidRPr="00845BE0">
              <w:rPr>
                <w:rFonts w:ascii="Arial Narrow" w:hAnsi="Arial Narrow"/>
                <w:b/>
                <w:bCs/>
                <w:sz w:val="24"/>
                <w:szCs w:val="24"/>
              </w:rPr>
              <w:t>Sub-măsura 19.2 - ”Sprijin pentru implementarea ac</w:t>
            </w:r>
            <w:r w:rsidRPr="00845BE0">
              <w:rPr>
                <w:rFonts w:ascii="Arial Narrow" w:hAnsi="Arial Narrow" w:cs="Arial"/>
                <w:b/>
                <w:bCs/>
                <w:sz w:val="24"/>
                <w:szCs w:val="24"/>
              </w:rPr>
              <w:t>ț</w:t>
            </w:r>
            <w:r w:rsidRPr="00845BE0">
              <w:rPr>
                <w:rFonts w:ascii="Arial Narrow" w:hAnsi="Arial Narrow"/>
                <w:b/>
                <w:bCs/>
                <w:sz w:val="24"/>
                <w:szCs w:val="24"/>
              </w:rPr>
              <w:t xml:space="preserve">iunilor </w:t>
            </w:r>
            <w:r w:rsidRPr="00845BE0">
              <w:rPr>
                <w:rFonts w:ascii="Arial Narrow" w:hAnsi="Arial Narrow" w:cs="Century Gothic"/>
                <w:b/>
                <w:bCs/>
                <w:sz w:val="24"/>
                <w:szCs w:val="24"/>
              </w:rPr>
              <w:t>î</w:t>
            </w:r>
            <w:r w:rsidRPr="00845BE0">
              <w:rPr>
                <w:rFonts w:ascii="Arial Narrow" w:hAnsi="Arial Narrow"/>
                <w:b/>
                <w:bCs/>
                <w:sz w:val="24"/>
                <w:szCs w:val="24"/>
              </w:rPr>
              <w:t>n cadrul strategiei de</w:t>
            </w:r>
          </w:p>
          <w:p w:rsidR="00474FAE" w:rsidRPr="00845BE0" w:rsidRDefault="00474FAE" w:rsidP="002F3157">
            <w:pPr>
              <w:autoSpaceDE w:val="0"/>
              <w:autoSpaceDN w:val="0"/>
              <w:adjustRightInd w:val="0"/>
              <w:jc w:val="center"/>
              <w:rPr>
                <w:rFonts w:ascii="Arial Narrow" w:hAnsi="Arial Narrow"/>
                <w:b/>
                <w:bCs/>
                <w:sz w:val="24"/>
                <w:szCs w:val="24"/>
              </w:rPr>
            </w:pPr>
            <w:proofErr w:type="gramStart"/>
            <w:r w:rsidRPr="00845BE0">
              <w:rPr>
                <w:rFonts w:ascii="Arial Narrow" w:hAnsi="Arial Narrow"/>
                <w:b/>
                <w:bCs/>
                <w:sz w:val="24"/>
                <w:szCs w:val="24"/>
              </w:rPr>
              <w:t>dezvoltare</w:t>
            </w:r>
            <w:proofErr w:type="gramEnd"/>
            <w:r w:rsidRPr="00845BE0">
              <w:rPr>
                <w:rFonts w:ascii="Arial Narrow" w:hAnsi="Arial Narrow"/>
                <w:b/>
                <w:bCs/>
                <w:sz w:val="24"/>
                <w:szCs w:val="24"/>
              </w:rPr>
              <w:t xml:space="preserve"> locală!”</w:t>
            </w:r>
          </w:p>
          <w:p w:rsidR="005D178D" w:rsidRDefault="00474FAE" w:rsidP="005D178D">
            <w:pPr>
              <w:autoSpaceDE w:val="0"/>
              <w:autoSpaceDN w:val="0"/>
              <w:adjustRightInd w:val="0"/>
              <w:jc w:val="center"/>
              <w:rPr>
                <w:rFonts w:ascii="Arial Narrow" w:eastAsiaTheme="minorEastAsia" w:hAnsi="Arial Narrow" w:cs="Trebuchet MS"/>
                <w:b/>
                <w:bCs/>
                <w:color w:val="000000"/>
                <w:sz w:val="24"/>
                <w:szCs w:val="24"/>
              </w:rPr>
            </w:pPr>
            <w:r w:rsidRPr="00845BE0">
              <w:rPr>
                <w:rFonts w:ascii="Arial Narrow" w:hAnsi="Arial Narrow"/>
                <w:b/>
                <w:bCs/>
                <w:color w:val="FF0000"/>
                <w:sz w:val="24"/>
                <w:szCs w:val="24"/>
              </w:rPr>
              <w:t xml:space="preserve">GALViM  Masura </w:t>
            </w:r>
            <w:r w:rsidR="005D178D">
              <w:rPr>
                <w:rFonts w:ascii="Arial Narrow" w:hAnsi="Arial Narrow"/>
                <w:b/>
                <w:bCs/>
                <w:color w:val="FF0000"/>
                <w:sz w:val="24"/>
                <w:szCs w:val="24"/>
              </w:rPr>
              <w:t>M3</w:t>
            </w:r>
            <w:r w:rsidR="00905B5E">
              <w:rPr>
                <w:rFonts w:ascii="Arial Narrow" w:hAnsi="Arial Narrow"/>
                <w:b/>
                <w:bCs/>
                <w:color w:val="FF0000"/>
                <w:sz w:val="24"/>
                <w:szCs w:val="24"/>
              </w:rPr>
              <w:t xml:space="preserve">/1B </w:t>
            </w:r>
            <w:r w:rsidRPr="00845BE0">
              <w:rPr>
                <w:rFonts w:ascii="Arial Narrow" w:hAnsi="Arial Narrow"/>
                <w:b/>
                <w:bCs/>
                <w:color w:val="FF0000"/>
                <w:sz w:val="24"/>
                <w:szCs w:val="24"/>
              </w:rPr>
              <w:t xml:space="preserve"> </w:t>
            </w:r>
            <w:r w:rsidR="005D178D" w:rsidRPr="005D178D">
              <w:rPr>
                <w:rFonts w:ascii="Arial Narrow" w:eastAsiaTheme="minorEastAsia" w:hAnsi="Arial Narrow" w:cs="Trebuchet MS"/>
                <w:b/>
                <w:bCs/>
                <w:color w:val="000000"/>
                <w:sz w:val="24"/>
                <w:szCs w:val="24"/>
                <w:lang w:val="x-none"/>
              </w:rPr>
              <w:t>Cooperare în vederea diversificării activităţilor agricole</w:t>
            </w:r>
          </w:p>
          <w:p w:rsidR="00474FAE" w:rsidRPr="00845BE0" w:rsidRDefault="00474FAE" w:rsidP="005D178D">
            <w:pPr>
              <w:autoSpaceDE w:val="0"/>
              <w:autoSpaceDN w:val="0"/>
              <w:adjustRightInd w:val="0"/>
              <w:jc w:val="center"/>
              <w:rPr>
                <w:rFonts w:ascii="Arial Narrow" w:hAnsi="Arial Narrow"/>
                <w:b/>
                <w:bCs/>
                <w:sz w:val="24"/>
                <w:szCs w:val="24"/>
              </w:rPr>
            </w:pPr>
            <w:r w:rsidRPr="00845BE0">
              <w:rPr>
                <w:rFonts w:ascii="Arial Narrow" w:hAnsi="Arial Narrow"/>
                <w:b/>
                <w:bCs/>
                <w:color w:val="FF0000"/>
                <w:sz w:val="24"/>
                <w:szCs w:val="24"/>
              </w:rPr>
              <w:t xml:space="preserve"> Anexa nr. 1</w:t>
            </w:r>
            <w:r w:rsidR="00845BE0">
              <w:rPr>
                <w:rFonts w:ascii="Arial Narrow" w:hAnsi="Arial Narrow"/>
                <w:b/>
                <w:bCs/>
                <w:color w:val="FF0000"/>
                <w:sz w:val="24"/>
                <w:szCs w:val="24"/>
              </w:rPr>
              <w:t>4</w:t>
            </w:r>
            <w:r w:rsidR="00905B5E">
              <w:rPr>
                <w:rFonts w:ascii="Arial Narrow" w:hAnsi="Arial Narrow"/>
                <w:b/>
                <w:bCs/>
                <w:color w:val="FF0000"/>
                <w:sz w:val="24"/>
                <w:szCs w:val="24"/>
              </w:rPr>
              <w:t xml:space="preserve"> Fisa Masurii  cf. SDL</w:t>
            </w:r>
          </w:p>
        </w:tc>
      </w:tr>
    </w:tbl>
    <w:p w:rsidR="008C0568" w:rsidRPr="00845BE0" w:rsidRDefault="008C0568">
      <w:pPr>
        <w:rPr>
          <w:rFonts w:ascii="Arial Narrow" w:hAnsi="Arial Narrow"/>
          <w:sz w:val="24"/>
          <w:szCs w:val="24"/>
        </w:rPr>
      </w:pPr>
    </w:p>
    <w:p w:rsidR="005D178D" w:rsidRPr="005D178D" w:rsidRDefault="005D178D" w:rsidP="005D178D">
      <w:pPr>
        <w:widowControl w:val="0"/>
        <w:autoSpaceDE w:val="0"/>
        <w:autoSpaceDN w:val="0"/>
        <w:adjustRightInd w:val="0"/>
        <w:spacing w:line="276" w:lineRule="auto"/>
        <w:ind w:left="2160" w:firstLine="720"/>
        <w:jc w:val="both"/>
        <w:rPr>
          <w:rFonts w:ascii="Arial Narrow" w:eastAsiaTheme="minorEastAsia" w:hAnsi="Arial Narrow" w:cs="Trebuchet MS"/>
          <w:b/>
          <w:bCs/>
          <w:sz w:val="24"/>
          <w:szCs w:val="24"/>
          <w:u w:val="single"/>
        </w:rPr>
      </w:pPr>
      <w:r w:rsidRPr="005D178D">
        <w:rPr>
          <w:rFonts w:ascii="Trebuchet MS" w:eastAsiaTheme="minorEastAsia" w:hAnsi="Trebuchet MS" w:cs="Trebuchet MS"/>
          <w:b/>
          <w:bCs/>
          <w:sz w:val="24"/>
          <w:szCs w:val="24"/>
        </w:rPr>
        <w:t xml:space="preserve">         </w:t>
      </w:r>
      <w:r w:rsidRPr="005D178D">
        <w:rPr>
          <w:rFonts w:ascii="Arial Narrow" w:eastAsiaTheme="minorEastAsia" w:hAnsi="Arial Narrow" w:cs="Trebuchet MS"/>
          <w:b/>
          <w:bCs/>
          <w:sz w:val="24"/>
          <w:szCs w:val="24"/>
          <w:u w:val="single"/>
        </w:rPr>
        <w:t xml:space="preserve">FIȘA MĂSURII </w:t>
      </w:r>
      <w:r w:rsidR="002D4FBF">
        <w:rPr>
          <w:rFonts w:ascii="Arial Narrow" w:eastAsiaTheme="minorEastAsia" w:hAnsi="Arial Narrow" w:cs="Trebuchet MS"/>
          <w:b/>
          <w:bCs/>
          <w:sz w:val="24"/>
          <w:szCs w:val="24"/>
          <w:u w:val="single"/>
        </w:rPr>
        <w:t>M</w:t>
      </w:r>
      <w:r w:rsidRPr="005D178D">
        <w:rPr>
          <w:rFonts w:ascii="Arial Narrow" w:eastAsiaTheme="minorEastAsia" w:hAnsi="Arial Narrow" w:cs="Trebuchet MS"/>
          <w:b/>
          <w:bCs/>
          <w:sz w:val="24"/>
          <w:szCs w:val="24"/>
          <w:u w:val="single"/>
        </w:rPr>
        <w:t>3/1B</w:t>
      </w:r>
    </w:p>
    <w:p w:rsidR="005D178D" w:rsidRPr="005D178D" w:rsidRDefault="005D178D" w:rsidP="005D178D">
      <w:pPr>
        <w:widowControl w:val="0"/>
        <w:autoSpaceDE w:val="0"/>
        <w:autoSpaceDN w:val="0"/>
        <w:adjustRightInd w:val="0"/>
        <w:spacing w:line="276" w:lineRule="auto"/>
        <w:ind w:left="2160" w:firstLine="720"/>
        <w:jc w:val="both"/>
        <w:rPr>
          <w:rFonts w:ascii="Arial Narrow" w:eastAsiaTheme="minorEastAsia" w:hAnsi="Arial Narrow" w:cs="Trebuchet MS"/>
          <w:b/>
          <w:bCs/>
          <w:sz w:val="24"/>
          <w:szCs w:val="24"/>
          <w:u w:val="single"/>
        </w:rPr>
      </w:pP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b/>
          <w:bCs/>
          <w:color w:val="000000"/>
          <w:sz w:val="24"/>
          <w:szCs w:val="24"/>
          <w:lang w:val="x-none"/>
        </w:rPr>
      </w:pPr>
      <w:r w:rsidRPr="005D178D">
        <w:rPr>
          <w:rFonts w:ascii="Arial Narrow" w:eastAsiaTheme="minorEastAsia" w:hAnsi="Arial Narrow" w:cs="Trebuchet MS"/>
          <w:color w:val="000000"/>
          <w:sz w:val="24"/>
          <w:szCs w:val="24"/>
          <w:lang w:val="x-none"/>
        </w:rPr>
        <w:t>Denumirea măsurii – “</w:t>
      </w:r>
      <w:r w:rsidRPr="005D178D">
        <w:rPr>
          <w:rFonts w:ascii="Arial Narrow" w:eastAsiaTheme="minorEastAsia" w:hAnsi="Arial Narrow" w:cs="Trebuchet MS"/>
          <w:b/>
          <w:bCs/>
          <w:color w:val="000000"/>
          <w:sz w:val="24"/>
          <w:szCs w:val="24"/>
          <w:lang w:val="x-none"/>
        </w:rPr>
        <w:t>Cooperare în vederea diversificării activităţilor agricole”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CODUL Măsurii - Măsura 3/1B</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xml:space="preserve">Tipul măsurii: </w:t>
      </w:r>
      <w:r w:rsidRPr="005D178D">
        <w:rPr>
          <w:rFonts w:ascii="Arial Narrow" w:eastAsiaTheme="minorEastAsia" w:hAnsi="Arial Narrow" w:cs="Trebuchet MS"/>
          <w:sz w:val="24"/>
          <w:szCs w:val="24"/>
          <w:lang w:val="ro-RO"/>
        </w:rPr>
        <w:t xml:space="preserve">  </w:t>
      </w:r>
      <w:r w:rsidRPr="005D178D">
        <w:rPr>
          <w:rFonts w:ascii="Arial Narrow" w:eastAsiaTheme="minorEastAsia" w:hAnsi="Arial Narrow" w:cs="Trebuchet MS"/>
          <w:sz w:val="24"/>
          <w:szCs w:val="24"/>
          <w:lang w:val="x-none"/>
        </w:rPr>
        <w:t>□ X INVESTIȚII</w:t>
      </w:r>
    </w:p>
    <w:p w:rsidR="005D178D" w:rsidRPr="005D178D" w:rsidRDefault="005D178D" w:rsidP="005D178D">
      <w:pPr>
        <w:numPr>
          <w:ilvl w:val="0"/>
          <w:numId w:val="30"/>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xml:space="preserve">X SERVICII </w:t>
      </w:r>
    </w:p>
    <w:p w:rsidR="005D178D" w:rsidRPr="005D178D" w:rsidRDefault="005D178D" w:rsidP="005D178D">
      <w:pPr>
        <w:numPr>
          <w:ilvl w:val="0"/>
          <w:numId w:val="30"/>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xml:space="preserve">   SPRIJIN FORFETAR </w:t>
      </w:r>
    </w:p>
    <w:p w:rsidR="005D178D" w:rsidRPr="005D178D" w:rsidRDefault="005D178D" w:rsidP="005D178D">
      <w:pPr>
        <w:numPr>
          <w:ilvl w:val="0"/>
          <w:numId w:val="35"/>
        </w:numPr>
        <w:autoSpaceDE w:val="0"/>
        <w:autoSpaceDN w:val="0"/>
        <w:adjustRightInd w:val="0"/>
        <w:spacing w:after="200" w:line="276" w:lineRule="auto"/>
        <w:ind w:right="15"/>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5D178D" w:rsidRPr="005D178D" w:rsidRDefault="005D178D" w:rsidP="005D178D">
      <w:pPr>
        <w:autoSpaceDE w:val="0"/>
        <w:autoSpaceDN w:val="0"/>
        <w:adjustRightInd w:val="0"/>
        <w:spacing w:line="276" w:lineRule="auto"/>
        <w:ind w:firstLine="285"/>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sz w:val="24"/>
          <w:szCs w:val="24"/>
          <w:lang w:val="x-none"/>
        </w:rPr>
        <w:t xml:space="preserve">În microregiune un potențial încă nevalorificat la nivelul necesar este turismul. Un număr de șase localități membre GAL sunt incluse în Lista zonelor rurale cu potențial turistic ridicat și încă două din ele sunt incluse în Lista zonelor cu potențial turistic foarte ridicat. </w:t>
      </w:r>
      <w:r w:rsidRPr="005D178D">
        <w:rPr>
          <w:rFonts w:ascii="Arial Narrow" w:eastAsiaTheme="minorEastAsia" w:hAnsi="Arial Narrow" w:cs="Trebuchet MS"/>
          <w:color w:val="000000"/>
          <w:sz w:val="24"/>
          <w:szCs w:val="24"/>
          <w:lang w:val="x-none"/>
        </w:rPr>
        <w:t xml:space="preserve">Infrastructura turistică şi serviciile turistice suport şi de agrement sunt insuficient dezvoltate, iar promovarea turistică este deficitara şi realizată în mod neprofesionist. În sectorul hotelier au fost identificate aproximativ 59 de unități de cazare. Luând în considerare potențialul turistic al întregului județ și mai ales al comunelor existente în cadrul microregiunii noastre, capacitatea de cazare ar putea fi extinsă prin dezvoltarea de activităţi agroturistice în propriile locuinţe, având în vedere că exista un număr semnificativ de locuinţe mari, construite după 1990 cu banii trimişi de populaţia din zonă care a migrat în alte state europene. Sunt necesare investiţii în turism atât în infrastructură de cazare și agreement, cât și în promovare pentru consolidarea unui brand local. </w:t>
      </w:r>
    </w:p>
    <w:p w:rsidR="005D178D" w:rsidRPr="005D178D" w:rsidRDefault="005D178D" w:rsidP="005D178D">
      <w:pPr>
        <w:autoSpaceDE w:val="0"/>
        <w:autoSpaceDN w:val="0"/>
        <w:adjustRightInd w:val="0"/>
        <w:spacing w:line="276" w:lineRule="auto"/>
        <w:ind w:firstLine="285"/>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color w:val="000000"/>
          <w:sz w:val="24"/>
          <w:szCs w:val="24"/>
          <w:lang w:val="x-none"/>
        </w:rPr>
        <w:t>Microregiunea Valea Izei–Moisei deţine un bogat patrimoniu cultural material și imaterial, prin care se păstrează identitatea și tradițiile microregiunii. În cadrul microregiunii noastre în localitățile Ieud și Poienile Izei se dețin două biserici tipic maramureșenești incluse în patrimoniul UNESCO. Comunele aparținătoare microregiunii au un mare potenţial de cercetare arheologic, zona fiind aparte încă din antichitate și cu majore influențe în toată regiunea de Nord-Vest a țării și nu numai. Pe lângă potențialul arheologic, zona deține o mulțime de obiective de interes local (case și gospodării tradiționale,</w:t>
      </w:r>
      <w:r w:rsidRPr="005D178D">
        <w:rPr>
          <w:rFonts w:ascii="Arial Narrow" w:eastAsiaTheme="minorEastAsia" w:hAnsi="Arial Narrow" w:cs="Trebuchet MS"/>
          <w:sz w:val="24"/>
          <w:szCs w:val="24"/>
          <w:lang w:val="x-none"/>
        </w:rPr>
        <w:t xml:space="preserve"> </w:t>
      </w:r>
      <w:r w:rsidRPr="005D178D">
        <w:rPr>
          <w:rFonts w:ascii="Arial Narrow" w:eastAsiaTheme="minorEastAsia" w:hAnsi="Arial Narrow" w:cs="Trebuchet MS"/>
          <w:color w:val="000000"/>
          <w:sz w:val="24"/>
          <w:szCs w:val="24"/>
          <w:lang w:val="x-none"/>
        </w:rPr>
        <w:t xml:space="preserve">ateliere meșteșugărești, expoziții de </w:t>
      </w:r>
      <w:r w:rsidRPr="005D178D">
        <w:rPr>
          <w:rFonts w:ascii="Arial Narrow" w:eastAsiaTheme="minorEastAsia" w:hAnsi="Arial Narrow" w:cs="Trebuchet MS"/>
          <w:color w:val="000000"/>
          <w:sz w:val="24"/>
          <w:szCs w:val="24"/>
          <w:lang w:val="x-none"/>
        </w:rPr>
        <w:lastRenderedPageBreak/>
        <w:t>etnografie și artă populară, ceramica specifică locului, etc.) care de abia așteaptă să fie puse în valoare. Deși datinile, obiceiurile, tradițiile, meșteșugurile tradiționale, muzica, dansurile și elementele de gastronomie tradițională se păstrează încă vii în zona Valea Izei-Moisei, acestea riscă să se piardă. Sunt necesare demersuri pentru încurajarea transmiterii lor din generație în generație, pentru salvgardarea patrimoniului cultural prin inventariere, repertoriere, includerea în baze de date integrate şi pentru organizarea de evenimente care să acopere o arie mai largă a teritoriului şi perioadele extrasezon.</w:t>
      </w:r>
    </w:p>
    <w:p w:rsidR="005D178D" w:rsidRPr="005D178D" w:rsidRDefault="005D178D" w:rsidP="005D178D">
      <w:pPr>
        <w:autoSpaceDE w:val="0"/>
        <w:autoSpaceDN w:val="0"/>
        <w:adjustRightInd w:val="0"/>
        <w:spacing w:line="276" w:lineRule="auto"/>
        <w:ind w:firstLine="285"/>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color w:val="000000"/>
          <w:sz w:val="24"/>
          <w:szCs w:val="24"/>
          <w:lang w:val="x-none"/>
        </w:rPr>
        <w:t xml:space="preserve">Pentru a transforma microregiunea într-o destinaţie turstică atractivă, este necesar ca aceste resurse să fie susţinute de o infrastructură turistică adecvată. Infrastructura de agrement este insuficient dezvoltată faţă de potențialul turistic al zonei. Există doar câteva trasee turistice slab marcate și întreținute, iar spațiile publice de agreement şi recreere sunt foarte puţine. O serie de obiective culturale necesită investiții de restaurare și conservare și/sau dotare, pentru a le menține valoarea culturală. </w:t>
      </w:r>
    </w:p>
    <w:p w:rsidR="005D178D" w:rsidRPr="005D178D" w:rsidRDefault="005D178D" w:rsidP="005D178D">
      <w:pPr>
        <w:autoSpaceDE w:val="0"/>
        <w:autoSpaceDN w:val="0"/>
        <w:adjustRightInd w:val="0"/>
        <w:spacing w:line="276" w:lineRule="auto"/>
        <w:ind w:firstLine="285"/>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În concluzie, în cadrul acestei măsuri, se acordă sprijin financiar pentru a facilita cooperarea între actorii implicați în dezvoltarea rurală, care creează reţele și/sau clustere pentru a-i ajuta să depășească și să aplaneze problemele legate de dezvoltarea afacerilor, sau provocările legate de mediu. Analiza SWOT evidențiază existența unei lipse reale a factorilor care să stimuleze astfel de rezultate în spațiul rural al teritoriului. Această situație generează un efect negativ asupra valorii adăugate și asupra viabilității afacerilor din spațiul rural și în mod implicit, asupra nivelului de competitivitate al acestora în comparație cu nivelul existent în zona urbană.</w:t>
      </w:r>
    </w:p>
    <w:p w:rsidR="005D178D" w:rsidRPr="005D178D" w:rsidRDefault="005D178D" w:rsidP="005D178D">
      <w:pPr>
        <w:autoSpaceDE w:val="0"/>
        <w:autoSpaceDN w:val="0"/>
        <w:adjustRightInd w:val="0"/>
        <w:spacing w:line="276" w:lineRule="auto"/>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Obiectiv (e) de dezvoltare rurală</w:t>
      </w:r>
    </w:p>
    <w:p w:rsidR="005D178D" w:rsidRPr="005D178D" w:rsidRDefault="005D178D" w:rsidP="005D178D">
      <w:pPr>
        <w:numPr>
          <w:ilvl w:val="0"/>
          <w:numId w:val="40"/>
        </w:numPr>
        <w:autoSpaceDE w:val="0"/>
        <w:autoSpaceDN w:val="0"/>
        <w:adjustRightInd w:val="0"/>
        <w:spacing w:after="200" w:line="276" w:lineRule="auto"/>
        <w:contextualSpacing/>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sz w:val="24"/>
          <w:szCs w:val="24"/>
          <w:lang w:val="x-none"/>
        </w:rPr>
        <w:t>Favorizarea competititvitatii agriculturii</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40"/>
        </w:numPr>
        <w:tabs>
          <w:tab w:val="left" w:pos="225"/>
        </w:tabs>
        <w:autoSpaceDE w:val="0"/>
        <w:autoSpaceDN w:val="0"/>
        <w:adjustRightInd w:val="0"/>
        <w:spacing w:after="200" w:line="276" w:lineRule="auto"/>
        <w:contextualSpacing/>
        <w:jc w:val="both"/>
        <w:rPr>
          <w:rFonts w:ascii="Arial Narrow" w:eastAsiaTheme="minorEastAsia" w:hAnsi="Arial Narrow" w:cs="Trebuchet MS"/>
          <w:sz w:val="24"/>
          <w:szCs w:val="24"/>
          <w:lang w:val="ro-RO"/>
        </w:rPr>
      </w:pPr>
      <w:r w:rsidRPr="005D178D">
        <w:rPr>
          <w:rFonts w:ascii="Arial Narrow" w:eastAsiaTheme="minorEastAsia" w:hAnsi="Arial Narrow" w:cs="Trebuchet MS"/>
          <w:sz w:val="24"/>
          <w:szCs w:val="24"/>
          <w:lang w:val="x-none"/>
        </w:rPr>
        <w:t>Asigurarea gestionarii durabile a resurselor naturale şi combaterea schimbărilor climatice</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40"/>
        </w:numPr>
        <w:autoSpaceDE w:val="0"/>
        <w:autoSpaceDN w:val="0"/>
        <w:adjustRightInd w:val="0"/>
        <w:spacing w:after="200" w:line="276" w:lineRule="auto"/>
        <w:contextualSpacing/>
        <w:jc w:val="both"/>
        <w:rPr>
          <w:rFonts w:ascii="Arial Narrow" w:eastAsiaTheme="minorEastAsia" w:hAnsi="Arial Narrow" w:cs="Trebuchet MS"/>
          <w:color w:val="000000"/>
          <w:sz w:val="24"/>
          <w:szCs w:val="24"/>
          <w:lang w:val="ro-RO"/>
        </w:rPr>
      </w:pPr>
      <w:r w:rsidRPr="005D178D">
        <w:rPr>
          <w:rFonts w:ascii="Arial Narrow" w:eastAsiaTheme="minorEastAsia" w:hAnsi="Arial Narrow" w:cs="Trebuchet MS"/>
          <w:color w:val="000000"/>
          <w:sz w:val="24"/>
          <w:szCs w:val="24"/>
          <w:lang w:val="x-none"/>
        </w:rPr>
        <w:t>Obţinerea unei dezvoltări teritoriale echilibrate a economiilor şi comunităţilor rurale, inclusiv crearea şi menţinerea de locuri de muncă</w:t>
      </w:r>
      <w:r w:rsidRPr="005D178D">
        <w:rPr>
          <w:rFonts w:ascii="Arial Narrow" w:eastAsiaTheme="minorEastAsia" w:hAnsi="Arial Narrow" w:cs="Trebuchet MS"/>
          <w:color w:val="000000"/>
          <w:sz w:val="24"/>
          <w:szCs w:val="24"/>
          <w:lang w:val="ro-RO"/>
        </w:rPr>
        <w:t>;</w:t>
      </w:r>
    </w:p>
    <w:p w:rsidR="005D178D" w:rsidRPr="005D178D" w:rsidRDefault="005D178D" w:rsidP="005D178D">
      <w:pPr>
        <w:autoSpaceDE w:val="0"/>
        <w:autoSpaceDN w:val="0"/>
        <w:adjustRightInd w:val="0"/>
        <w:spacing w:line="276" w:lineRule="auto"/>
        <w:ind w:right="15"/>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Obiective specifice ale măsurii</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Sprijinirea implementării acţiunilor desfăşurate de clustere şi reţele în scopul:</w:t>
      </w:r>
    </w:p>
    <w:p w:rsidR="005D178D" w:rsidRPr="005D178D" w:rsidRDefault="005D178D" w:rsidP="005D178D">
      <w:pPr>
        <w:numPr>
          <w:ilvl w:val="0"/>
          <w:numId w:val="31"/>
        </w:numPr>
        <w:autoSpaceDE w:val="0"/>
        <w:autoSpaceDN w:val="0"/>
        <w:adjustRightInd w:val="0"/>
        <w:spacing w:after="200" w:line="276" w:lineRule="auto"/>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color w:val="000000"/>
          <w:sz w:val="24"/>
          <w:szCs w:val="24"/>
          <w:lang w:val="x-none"/>
        </w:rPr>
        <w:t>Cooperării între micii operatori în ceea ce privește organizarea de procese de lucru comune și partajarea echipamentelor și a resurselor și pentru dezvoltarea și/sau comercializarea de servicii turistice aferente turismului rural</w:t>
      </w:r>
      <w:r w:rsidRPr="005D178D">
        <w:rPr>
          <w:rFonts w:ascii="Arial Narrow" w:eastAsiaTheme="minorEastAsia" w:hAnsi="Arial Narrow" w:cs="Trebuchet MS"/>
          <w:color w:val="000000"/>
          <w:sz w:val="24"/>
          <w:szCs w:val="24"/>
          <w:lang w:val="ro-RO"/>
        </w:rPr>
        <w:t>;</w:t>
      </w:r>
    </w:p>
    <w:p w:rsidR="005D178D" w:rsidRPr="005D178D" w:rsidRDefault="005D178D" w:rsidP="005D178D">
      <w:pPr>
        <w:numPr>
          <w:ilvl w:val="0"/>
          <w:numId w:val="31"/>
        </w:numPr>
        <w:autoSpaceDE w:val="0"/>
        <w:autoSpaceDN w:val="0"/>
        <w:adjustRightInd w:val="0"/>
        <w:spacing w:after="200" w:line="276" w:lineRule="auto"/>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color w:val="000000"/>
          <w:sz w:val="24"/>
          <w:szCs w:val="24"/>
          <w:lang w:val="x-none"/>
        </w:rPr>
        <w:t>Diversificării activităţilor agricole în direcţia privind sănătatea, integrarea socială, agricultura sprijinită de comunitate, educaţia cu privire la mediu şi alimentaţie</w:t>
      </w:r>
      <w:r w:rsidRPr="005D178D">
        <w:rPr>
          <w:rFonts w:ascii="Arial Narrow" w:eastAsiaTheme="minorEastAsia" w:hAnsi="Arial Narrow" w:cs="Trebuchet MS"/>
          <w:color w:val="000000"/>
          <w:sz w:val="24"/>
          <w:szCs w:val="24"/>
          <w:lang w:val="ro-RO"/>
        </w:rPr>
        <w:t>;</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Măsura contribuie</w:t>
      </w:r>
      <w:r w:rsidRPr="005D178D">
        <w:rPr>
          <w:rFonts w:ascii="Arial Narrow" w:eastAsiaTheme="minorEastAsia" w:hAnsi="Arial Narrow" w:cs="Trebuchet MS"/>
          <w:b/>
          <w:bCs/>
          <w:sz w:val="24"/>
          <w:szCs w:val="24"/>
          <w:lang w:val="x-none"/>
        </w:rPr>
        <w:t xml:space="preserve"> </w:t>
      </w:r>
      <w:r w:rsidRPr="005D178D">
        <w:rPr>
          <w:rFonts w:ascii="Arial Narrow" w:eastAsiaTheme="minorEastAsia" w:hAnsi="Arial Narrow" w:cs="Trebuchet MS"/>
          <w:b/>
          <w:bCs/>
          <w:sz w:val="24"/>
          <w:szCs w:val="24"/>
          <w:u w:val="single"/>
          <w:lang w:val="x-none"/>
        </w:rPr>
        <w:t xml:space="preserve">la prioritatea/prioritățile prevăzute la art. 5, Reg. (UE) nr. 1305/2013 </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b/>
          <w:bCs/>
          <w:color w:val="000000"/>
          <w:sz w:val="24"/>
          <w:szCs w:val="24"/>
          <w:lang w:val="x-none"/>
        </w:rPr>
      </w:pPr>
      <w:r w:rsidRPr="005D178D">
        <w:rPr>
          <w:rFonts w:ascii="Arial Narrow" w:eastAsiaTheme="minorEastAsia" w:hAnsi="Arial Narrow" w:cs="Trebuchet MS"/>
          <w:b/>
          <w:bCs/>
          <w:color w:val="000000"/>
          <w:sz w:val="24"/>
          <w:szCs w:val="24"/>
          <w:lang w:val="x-none"/>
        </w:rPr>
        <w:t>P1: Încurajarea transferului de cunoștințe și a inovării în agricultură, silvicultură și în zonele rurale ca prioritate principală şi</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color w:val="000000"/>
          <w:sz w:val="24"/>
          <w:szCs w:val="24"/>
          <w:lang w:val="x-none"/>
        </w:rPr>
      </w:pPr>
      <w:r w:rsidRPr="0029105C">
        <w:rPr>
          <w:rFonts w:ascii="Arial Narrow" w:eastAsiaTheme="minorEastAsia" w:hAnsi="Arial Narrow" w:cs="Trebuchet MS"/>
          <w:b/>
          <w:color w:val="000000"/>
          <w:sz w:val="24"/>
          <w:szCs w:val="24"/>
          <w:lang w:val="x-none"/>
        </w:rPr>
        <w:t>P5:</w:t>
      </w:r>
      <w:r w:rsidRPr="005D178D">
        <w:rPr>
          <w:rFonts w:ascii="Arial Narrow" w:eastAsiaTheme="minorEastAsia" w:hAnsi="Arial Narrow" w:cs="Trebuchet MS"/>
          <w:color w:val="000000"/>
          <w:sz w:val="24"/>
          <w:szCs w:val="24"/>
          <w:lang w:val="x-none"/>
        </w:rPr>
        <w:t xml:space="preserve"> Promovarea utilizării eficiente a resurselor și sprijinirea tranziției către o economie cu emisii reduse de carbon și reziliență la schimbările climatice în sectoarele agricol, alimentar și silvic</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color w:val="000000"/>
          <w:sz w:val="24"/>
          <w:szCs w:val="24"/>
          <w:lang w:val="x-none"/>
        </w:rPr>
      </w:pPr>
      <w:r w:rsidRPr="0029105C">
        <w:rPr>
          <w:rFonts w:ascii="Arial Narrow" w:eastAsiaTheme="minorEastAsia" w:hAnsi="Arial Narrow" w:cs="Trebuchet MS"/>
          <w:b/>
          <w:color w:val="000000"/>
          <w:sz w:val="24"/>
          <w:szCs w:val="24"/>
          <w:lang w:val="x-none"/>
        </w:rPr>
        <w:t>P6:</w:t>
      </w:r>
      <w:r w:rsidRPr="005D178D">
        <w:rPr>
          <w:rFonts w:ascii="Arial Narrow" w:eastAsiaTheme="minorEastAsia" w:hAnsi="Arial Narrow" w:cs="Trebuchet MS"/>
          <w:color w:val="000000"/>
          <w:sz w:val="24"/>
          <w:szCs w:val="24"/>
          <w:lang w:val="x-none"/>
        </w:rPr>
        <w:t xml:space="preserve"> Promovarea incluziunii sociale, a reducerii sărăciei și a dezvoltării economice în zonele rurale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 xml:space="preserve">Măsura corespunde obiectivelor art. 35 Cooperare alineatul 2, </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color w:val="000000"/>
          <w:sz w:val="24"/>
          <w:szCs w:val="24"/>
          <w:lang w:val="x-none"/>
        </w:rPr>
        <w:lastRenderedPageBreak/>
        <w:t>Punctul c) cooperării între micii operatori în ceea ce privește organizarea de procese de lucru comune și partajarea echipamentelor și a resurselor și pentru dezvoltarea și/sau comercializarea de servicii turistice aferente turismului rural</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color w:val="000000"/>
          <w:sz w:val="24"/>
          <w:szCs w:val="24"/>
          <w:lang w:val="x-none"/>
        </w:rPr>
        <w:t>Punctul k) Diversificarea activităţilor agricole în direcţia activităţilor privind sănătatea, integrarea socială, agricultura sprijinită de comunitate, educaţia cu privire la mediu şi alimentaţie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Măsura contribuie la Domeniul de intervenție 1A Încurajarea transferului de cunoştinţe şi a inovării în agricultură în silvicultura şi în zonele rurale.</w:t>
      </w:r>
    </w:p>
    <w:p w:rsidR="005D178D" w:rsidRPr="005D178D" w:rsidRDefault="005D178D" w:rsidP="005D178D">
      <w:pPr>
        <w:autoSpaceDE w:val="0"/>
        <w:autoSpaceDN w:val="0"/>
        <w:adjustRightInd w:val="0"/>
        <w:spacing w:line="276" w:lineRule="auto"/>
        <w:ind w:left="15"/>
        <w:jc w:val="both"/>
        <w:rPr>
          <w:rFonts w:ascii="Arial Narrow" w:eastAsiaTheme="minorEastAsia" w:hAnsi="Arial Narrow" w:cs="Trebuchet MS"/>
          <w:sz w:val="24"/>
          <w:szCs w:val="24"/>
          <w:u w:val="single"/>
          <w:lang w:val="x-none"/>
        </w:rPr>
      </w:pPr>
      <w:r w:rsidRPr="005D178D">
        <w:rPr>
          <w:rFonts w:ascii="Arial Narrow" w:eastAsiaTheme="minorEastAsia" w:hAnsi="Arial Narrow" w:cs="Trebuchet MS"/>
          <w:b/>
          <w:bCs/>
          <w:sz w:val="24"/>
          <w:szCs w:val="24"/>
          <w:u w:val="single"/>
          <w:lang w:val="x-none"/>
        </w:rPr>
        <w:t>Măsura contribuie la obiectivele transversale ale Reg. (UE) nr. 1305</w:t>
      </w:r>
      <w:r w:rsidRPr="005D178D">
        <w:rPr>
          <w:rFonts w:ascii="Arial Narrow" w:eastAsiaTheme="minorEastAsia" w:hAnsi="Arial Narrow" w:cs="Trebuchet MS"/>
          <w:sz w:val="24"/>
          <w:szCs w:val="24"/>
          <w:u w:val="single"/>
          <w:lang w:val="x-none"/>
        </w:rPr>
        <w:t>/</w:t>
      </w:r>
      <w:r w:rsidRPr="005D178D">
        <w:rPr>
          <w:rFonts w:ascii="Arial Narrow" w:eastAsiaTheme="minorEastAsia" w:hAnsi="Arial Narrow" w:cs="Trebuchet MS"/>
          <w:b/>
          <w:sz w:val="24"/>
          <w:szCs w:val="24"/>
          <w:u w:val="single"/>
          <w:lang w:val="x-none"/>
        </w:rPr>
        <w:t>2013:</w:t>
      </w:r>
      <w:r w:rsidRPr="005D178D">
        <w:rPr>
          <w:rFonts w:ascii="Arial Narrow" w:eastAsiaTheme="minorEastAsia" w:hAnsi="Arial Narrow" w:cs="Trebuchet MS"/>
          <w:sz w:val="24"/>
          <w:szCs w:val="24"/>
          <w:u w:val="single"/>
          <w:lang w:val="x-none"/>
        </w:rPr>
        <w:t xml:space="preserve"> </w:t>
      </w:r>
    </w:p>
    <w:p w:rsidR="005D178D" w:rsidRPr="005D178D" w:rsidRDefault="005D178D" w:rsidP="005D178D">
      <w:pPr>
        <w:numPr>
          <w:ilvl w:val="0"/>
          <w:numId w:val="22"/>
        </w:numPr>
        <w:autoSpaceDE w:val="0"/>
        <w:autoSpaceDN w:val="0"/>
        <w:adjustRightInd w:val="0"/>
        <w:spacing w:after="200" w:line="276" w:lineRule="auto"/>
        <w:contextualSpacing/>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Inovare: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Procesele de lucru între actorii din mediul rural vor fi inovative</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34"/>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Protecția mediului și atenuarea schimbărilor climatice;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Introducerea unor tehnologii inovative în planul de afaceri va contribui şi la protecția mediului și atenuarea schimbărilor climatice</w:t>
      </w:r>
      <w:r w:rsidRPr="005D178D">
        <w:rPr>
          <w:rFonts w:ascii="Arial Narrow" w:eastAsiaTheme="minorEastAsia" w:hAnsi="Arial Narrow" w:cs="Trebuchet MS"/>
          <w:sz w:val="24"/>
          <w:szCs w:val="24"/>
          <w:lang w:val="ro-RO"/>
        </w:rPr>
        <w:t>;</w:t>
      </w:r>
    </w:p>
    <w:p w:rsidR="005D178D" w:rsidRPr="005D178D" w:rsidRDefault="005D178D" w:rsidP="005D178D">
      <w:pPr>
        <w:autoSpaceDE w:val="0"/>
        <w:autoSpaceDN w:val="0"/>
        <w:adjustRightInd w:val="0"/>
        <w:spacing w:line="276" w:lineRule="auto"/>
        <w:ind w:left="15"/>
        <w:jc w:val="both"/>
        <w:rPr>
          <w:rFonts w:ascii="Arial Narrow" w:eastAsiaTheme="minorEastAsia" w:hAnsi="Arial Narrow" w:cs="Trebuchet MS"/>
          <w:sz w:val="24"/>
          <w:szCs w:val="24"/>
          <w:lang w:val="x-none"/>
        </w:rPr>
      </w:pPr>
      <w:r w:rsidRPr="005D178D">
        <w:rPr>
          <w:rFonts w:ascii="Arial Narrow" w:eastAsiaTheme="minorEastAsia" w:hAnsi="Arial Narrow" w:cs="Trebuchet MS"/>
          <w:b/>
          <w:bCs/>
          <w:sz w:val="24"/>
          <w:szCs w:val="24"/>
          <w:u w:val="single"/>
          <w:lang w:val="x-none"/>
        </w:rPr>
        <w:t>Complementaritatea cu alte măsuri</w:t>
      </w:r>
      <w:r w:rsidRPr="005D178D">
        <w:rPr>
          <w:rFonts w:ascii="Arial Narrow" w:eastAsiaTheme="minorEastAsia" w:hAnsi="Arial Narrow" w:cs="Trebuchet MS"/>
          <w:sz w:val="24"/>
          <w:szCs w:val="24"/>
          <w:u w:val="single"/>
          <w:lang w:val="x-none"/>
        </w:rPr>
        <w:t xml:space="preserve"> din SDL</w:t>
      </w:r>
      <w:r w:rsidRPr="005D178D">
        <w:rPr>
          <w:rFonts w:ascii="Arial Narrow" w:eastAsiaTheme="minorEastAsia" w:hAnsi="Arial Narrow" w:cs="Trebuchet MS"/>
          <w:sz w:val="24"/>
          <w:szCs w:val="24"/>
          <w:lang w:val="x-none"/>
        </w:rPr>
        <w:t>: M6/6A, M7/6A, M9/6B, M10/6B,</w:t>
      </w:r>
    </w:p>
    <w:p w:rsidR="005D178D" w:rsidRPr="005D178D" w:rsidRDefault="005D178D" w:rsidP="005D178D">
      <w:pPr>
        <w:autoSpaceDE w:val="0"/>
        <w:autoSpaceDN w:val="0"/>
        <w:adjustRightInd w:val="0"/>
        <w:spacing w:line="276" w:lineRule="auto"/>
        <w:ind w:left="15"/>
        <w:jc w:val="both"/>
        <w:rPr>
          <w:rFonts w:ascii="Arial Narrow" w:eastAsiaTheme="minorEastAsia" w:hAnsi="Arial Narrow" w:cs="Trebuchet MS"/>
          <w:sz w:val="24"/>
          <w:szCs w:val="24"/>
          <w:lang w:val="x-none"/>
        </w:rPr>
      </w:pPr>
      <w:r w:rsidRPr="005D178D">
        <w:rPr>
          <w:rFonts w:ascii="Arial Narrow" w:eastAsiaTheme="minorEastAsia" w:hAnsi="Arial Narrow" w:cs="Trebuchet MS"/>
          <w:b/>
          <w:bCs/>
          <w:sz w:val="24"/>
          <w:szCs w:val="24"/>
          <w:u w:val="single"/>
          <w:lang w:val="x-none"/>
        </w:rPr>
        <w:t>Sinergia cu alte măsuri din SDL</w:t>
      </w:r>
      <w:r w:rsidRPr="005D178D">
        <w:rPr>
          <w:rFonts w:ascii="Arial Narrow" w:eastAsiaTheme="minorEastAsia" w:hAnsi="Arial Narrow" w:cs="Trebuchet MS"/>
          <w:sz w:val="24"/>
          <w:szCs w:val="24"/>
          <w:lang w:val="x-none"/>
        </w:rPr>
        <w:t>: M1/1A, M2/1B</w:t>
      </w:r>
    </w:p>
    <w:p w:rsidR="005D178D" w:rsidRPr="005D178D" w:rsidRDefault="005D178D" w:rsidP="005D178D">
      <w:pPr>
        <w:autoSpaceDE w:val="0"/>
        <w:autoSpaceDN w:val="0"/>
        <w:adjustRightInd w:val="0"/>
        <w:spacing w:line="276" w:lineRule="auto"/>
        <w:ind w:left="15"/>
        <w:jc w:val="both"/>
        <w:rPr>
          <w:rFonts w:ascii="Arial Narrow" w:eastAsiaTheme="minorEastAsia" w:hAnsi="Arial Narrow" w:cs="Trebuchet MS"/>
          <w:sz w:val="24"/>
          <w:szCs w:val="24"/>
          <w:lang w:val="x-none"/>
        </w:rPr>
      </w:pPr>
    </w:p>
    <w:p w:rsidR="005D178D" w:rsidRPr="005D178D" w:rsidRDefault="005D178D" w:rsidP="005D178D">
      <w:pPr>
        <w:numPr>
          <w:ilvl w:val="0"/>
          <w:numId w:val="35"/>
        </w:numPr>
        <w:autoSpaceDE w:val="0"/>
        <w:autoSpaceDN w:val="0"/>
        <w:adjustRightInd w:val="0"/>
        <w:spacing w:after="200" w:line="276" w:lineRule="auto"/>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Valoarea adăugată a măsurii</w:t>
      </w:r>
    </w:p>
    <w:p w:rsidR="005D178D" w:rsidRPr="005D178D" w:rsidRDefault="005D178D" w:rsidP="005D178D">
      <w:pPr>
        <w:numPr>
          <w:ilvl w:val="0"/>
          <w:numId w:val="41"/>
        </w:numPr>
        <w:autoSpaceDE w:val="0"/>
        <w:autoSpaceDN w:val="0"/>
        <w:adjustRightInd w:val="0"/>
        <w:spacing w:after="200" w:line="276" w:lineRule="auto"/>
        <w:contextualSpacing/>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Punerea în valoare a tradiţiilor locale şi a meşteşugurilor</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41"/>
        </w:numPr>
        <w:autoSpaceDE w:val="0"/>
        <w:autoSpaceDN w:val="0"/>
        <w:adjustRightInd w:val="0"/>
        <w:spacing w:after="200" w:line="276" w:lineRule="auto"/>
        <w:contextualSpacing/>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Valorificarea patrimoniului cultural şi natural</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41"/>
        </w:numPr>
        <w:autoSpaceDE w:val="0"/>
        <w:autoSpaceDN w:val="0"/>
        <w:adjustRightInd w:val="0"/>
        <w:spacing w:after="200" w:line="276" w:lineRule="auto"/>
        <w:contextualSpacing/>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Creşterea valorii adugate a serviciilor turistice prin promovarea unor proiecte cu impact în comunitate</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41"/>
        </w:numPr>
        <w:autoSpaceDE w:val="0"/>
        <w:autoSpaceDN w:val="0"/>
        <w:adjustRightInd w:val="0"/>
        <w:spacing w:after="200" w:line="276" w:lineRule="auto"/>
        <w:contextualSpacing/>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Schimbarea mentalităţii actorilor locali în sensul aprecierii lucrului în comun şi forme asociative</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41"/>
        </w:numPr>
        <w:autoSpaceDE w:val="0"/>
        <w:autoSpaceDN w:val="0"/>
        <w:adjustRightInd w:val="0"/>
        <w:spacing w:after="200" w:line="276" w:lineRule="auto"/>
        <w:contextualSpacing/>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Asigurarea unei mai bune informări asupra atractivităţii teritoriului</w:t>
      </w:r>
      <w:r w:rsidRPr="005D178D">
        <w:rPr>
          <w:rFonts w:ascii="Arial Narrow" w:eastAsiaTheme="minorEastAsia" w:hAnsi="Arial Narrow" w:cs="Trebuchet MS"/>
          <w:sz w:val="24"/>
          <w:szCs w:val="24"/>
          <w:lang w:val="ro-RO"/>
        </w:rPr>
        <w:t>;</w:t>
      </w:r>
    </w:p>
    <w:p w:rsidR="005D178D" w:rsidRPr="005D178D" w:rsidRDefault="005D178D" w:rsidP="005D178D">
      <w:pPr>
        <w:autoSpaceDE w:val="0"/>
        <w:autoSpaceDN w:val="0"/>
        <w:adjustRightInd w:val="0"/>
        <w:spacing w:line="276" w:lineRule="auto"/>
        <w:ind w:left="720"/>
        <w:contextualSpacing/>
        <w:jc w:val="both"/>
        <w:rPr>
          <w:rFonts w:ascii="Arial Narrow" w:eastAsiaTheme="minorEastAsia" w:hAnsi="Arial Narrow" w:cs="Trebuchet MS"/>
          <w:sz w:val="24"/>
          <w:szCs w:val="24"/>
          <w:lang w:val="x-none"/>
        </w:rPr>
      </w:pPr>
    </w:p>
    <w:p w:rsidR="005D178D" w:rsidRPr="005D178D" w:rsidRDefault="005D178D" w:rsidP="005D178D">
      <w:pPr>
        <w:numPr>
          <w:ilvl w:val="0"/>
          <w:numId w:val="35"/>
        </w:numPr>
        <w:autoSpaceDE w:val="0"/>
        <w:autoSpaceDN w:val="0"/>
        <w:adjustRightInd w:val="0"/>
        <w:spacing w:after="200" w:line="276" w:lineRule="auto"/>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 xml:space="preserve">Trimiteri la alte acte legislative </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Regulamentul nr. 1305/2013 cu modificările și completările ulterioare;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Regulamentul nr. 1303/2013 cu modificările și completările ulterioare;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Regulamentul nr. 1407/2013 cu modificările și completările ulterioare;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Regulamentul nr. 807/2014 cu modificările și completările ulterioare;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ro-RO"/>
        </w:rPr>
      </w:pPr>
      <w:r w:rsidRPr="005D178D">
        <w:rPr>
          <w:rFonts w:ascii="Arial Narrow" w:eastAsiaTheme="minorEastAsia" w:hAnsi="Arial Narrow" w:cs="Trebuchet MS"/>
          <w:sz w:val="24"/>
          <w:szCs w:val="24"/>
          <w:lang w:val="x-none"/>
        </w:rPr>
        <w:t>R (UE) nr. 852/2004 al Parlamentului European şi al Consiliului din 29 aprilie 2004 privind igiena produselor alimentare</w:t>
      </w:r>
      <w:r w:rsidRPr="005D178D">
        <w:rPr>
          <w:rFonts w:ascii="Arial Narrow" w:eastAsiaTheme="minorEastAsia" w:hAnsi="Arial Narrow" w:cs="Trebuchet MS"/>
          <w:sz w:val="24"/>
          <w:szCs w:val="24"/>
          <w:lang w:val="ro-RO"/>
        </w:rPr>
        <w:t>;</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ro-RO"/>
        </w:rPr>
      </w:pPr>
    </w:p>
    <w:p w:rsidR="005D178D" w:rsidRPr="005D178D" w:rsidRDefault="005D178D" w:rsidP="005D178D">
      <w:pPr>
        <w:numPr>
          <w:ilvl w:val="0"/>
          <w:numId w:val="35"/>
        </w:numPr>
        <w:autoSpaceDE w:val="0"/>
        <w:autoSpaceDN w:val="0"/>
        <w:adjustRightInd w:val="0"/>
        <w:spacing w:after="200" w:line="276" w:lineRule="auto"/>
        <w:jc w:val="both"/>
        <w:rPr>
          <w:rFonts w:ascii="Arial Narrow" w:eastAsiaTheme="minorEastAsia" w:hAnsi="Arial Narrow" w:cs="Trebuchet MS"/>
          <w:b/>
          <w:bCs/>
          <w:sz w:val="24"/>
          <w:szCs w:val="24"/>
          <w:lang w:val="x-none"/>
        </w:rPr>
      </w:pPr>
      <w:r w:rsidRPr="005D178D">
        <w:rPr>
          <w:rFonts w:ascii="Arial Narrow" w:eastAsiaTheme="minorEastAsia" w:hAnsi="Arial Narrow" w:cs="Trebuchet MS"/>
          <w:b/>
          <w:bCs/>
          <w:sz w:val="24"/>
          <w:szCs w:val="24"/>
          <w:u w:val="single"/>
          <w:lang w:val="x-none"/>
        </w:rPr>
        <w:t>Beneficiari direcți/indirecți (grup țintă</w:t>
      </w:r>
      <w:r w:rsidRPr="005D178D">
        <w:rPr>
          <w:rFonts w:ascii="Arial Narrow" w:eastAsiaTheme="minorEastAsia" w:hAnsi="Arial Narrow" w:cs="Trebuchet MS"/>
          <w:b/>
          <w:bCs/>
          <w:sz w:val="24"/>
          <w:szCs w:val="24"/>
          <w:lang w:val="x-none"/>
        </w:rPr>
        <w:t xml:space="preserve">) </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u w:val="single"/>
          <w:lang w:val="x-none"/>
        </w:rPr>
        <w:t>PARTENERIATE</w:t>
      </w:r>
      <w:r w:rsidRPr="005D178D">
        <w:rPr>
          <w:rFonts w:ascii="Arial Narrow" w:eastAsiaTheme="minorEastAsia" w:hAnsi="Arial Narrow" w:cs="Trebuchet MS"/>
          <w:sz w:val="24"/>
          <w:szCs w:val="24"/>
          <w:lang w:val="x-none"/>
        </w:rPr>
        <w:t xml:space="preserve"> constituite în baza unui ACORD DE COOPERARE formate din minim doi parteneri şi în a cărui componenţă să fie cel puţin un partener din categoriile de mai jos:</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lastRenderedPageBreak/>
        <w:t>•  Fermieri</w:t>
      </w:r>
      <w:r w:rsidRPr="005D178D">
        <w:rPr>
          <w:rFonts w:ascii="Arial Narrow" w:eastAsiaTheme="minorEastAsia" w:hAnsi="Arial Narrow" w:cs="Trebuchet MS"/>
          <w:sz w:val="24"/>
          <w:szCs w:val="24"/>
          <w:lang w:val="ro-RO"/>
        </w:rPr>
        <w:t xml:space="preserve"> </w:t>
      </w:r>
      <w:r w:rsidRPr="005D178D">
        <w:rPr>
          <w:rFonts w:ascii="Arial Narrow" w:eastAsiaTheme="minorEastAsia" w:hAnsi="Arial Narrow" w:cs="Trebuchet MS"/>
          <w:sz w:val="24"/>
          <w:szCs w:val="24"/>
          <w:lang w:val="x-none"/>
        </w:rPr>
        <w:t>- forme colective;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Microîntreprinderi și întreprinderi mici;</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Organizații neguvernamentale;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Consilii locale;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Unități școlare, sanitare, de agrement și de alimentație publică.</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Parteneriatul poate fi constituit și din persoane fizice, cu condiția ca liderul de proiect să fie cel puțin PFA, ÎI, IF (înfiinţate în baza OUG nr. 44/2008, cu modificările și completările ulterioare);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b/>
          <w:sz w:val="24"/>
          <w:szCs w:val="24"/>
          <w:lang w:val="x-none"/>
        </w:rPr>
      </w:pPr>
      <w:r w:rsidRPr="005D178D">
        <w:rPr>
          <w:rFonts w:ascii="Arial Narrow" w:eastAsiaTheme="minorEastAsia" w:hAnsi="Arial Narrow" w:cs="Trebuchet MS"/>
          <w:b/>
          <w:sz w:val="24"/>
          <w:szCs w:val="24"/>
          <w:lang w:val="x-none"/>
        </w:rPr>
        <w:t>Beneficiari indirecţi:</w:t>
      </w:r>
    </w:p>
    <w:p w:rsidR="005D178D" w:rsidRPr="005D178D" w:rsidRDefault="005D178D" w:rsidP="005D178D">
      <w:pPr>
        <w:numPr>
          <w:ilvl w:val="0"/>
          <w:numId w:val="33"/>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Populația locală</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33"/>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Întreprinderi și societăți comerciale din domeniul agricol, turismului și alimentației publice, sănătate, educaţie etc.</w:t>
      </w:r>
      <w:r w:rsidRPr="005D178D">
        <w:rPr>
          <w:rFonts w:ascii="Arial Narrow" w:eastAsiaTheme="minorEastAsia" w:hAnsi="Arial Narrow" w:cs="Trebuchet MS"/>
          <w:sz w:val="24"/>
          <w:szCs w:val="24"/>
          <w:lang w:val="ro-RO"/>
        </w:rPr>
        <w:t>;</w:t>
      </w:r>
    </w:p>
    <w:p w:rsidR="005D178D" w:rsidRPr="005D178D" w:rsidRDefault="005D178D" w:rsidP="005D178D">
      <w:pPr>
        <w:autoSpaceDE w:val="0"/>
        <w:autoSpaceDN w:val="0"/>
        <w:adjustRightInd w:val="0"/>
        <w:spacing w:line="276" w:lineRule="auto"/>
        <w:ind w:left="135"/>
        <w:jc w:val="both"/>
        <w:rPr>
          <w:rFonts w:ascii="Arial Narrow" w:eastAsiaTheme="minorEastAsia" w:hAnsi="Arial Narrow" w:cs="Trebuchet MS"/>
          <w:sz w:val="24"/>
          <w:szCs w:val="24"/>
          <w:lang w:val="x-none"/>
        </w:rPr>
      </w:pPr>
    </w:p>
    <w:p w:rsidR="005D178D" w:rsidRPr="005D178D" w:rsidRDefault="005D178D" w:rsidP="005D178D">
      <w:pPr>
        <w:numPr>
          <w:ilvl w:val="0"/>
          <w:numId w:val="35"/>
        </w:numPr>
        <w:autoSpaceDE w:val="0"/>
        <w:autoSpaceDN w:val="0"/>
        <w:adjustRightInd w:val="0"/>
        <w:spacing w:after="200" w:line="276" w:lineRule="auto"/>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Tip de sprijin</w:t>
      </w:r>
    </w:p>
    <w:p w:rsidR="005D178D" w:rsidRPr="005D178D" w:rsidRDefault="005D178D" w:rsidP="005D178D">
      <w:pPr>
        <w:numPr>
          <w:ilvl w:val="0"/>
          <w:numId w:val="36"/>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xml:space="preserve">Rambursarea costurilor eligibile suportate și plătite efectiv </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36"/>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Plăți în avans, cu condiția constituirii unei garanții bancare sau a unei garanții echivalente corespunzătoare procentului de 100% din valoarea avansului, în conformitate cu art. 45 (4) și art. 63 ale R. (CE) nr. 1305/2014;</w:t>
      </w:r>
    </w:p>
    <w:p w:rsidR="005D178D" w:rsidRPr="005D178D" w:rsidRDefault="005D178D" w:rsidP="005D178D">
      <w:pPr>
        <w:autoSpaceDE w:val="0"/>
        <w:autoSpaceDN w:val="0"/>
        <w:adjustRightInd w:val="0"/>
        <w:spacing w:line="276" w:lineRule="auto"/>
        <w:ind w:left="360"/>
        <w:jc w:val="both"/>
        <w:rPr>
          <w:rFonts w:ascii="Arial Narrow" w:eastAsiaTheme="minorEastAsia" w:hAnsi="Arial Narrow" w:cs="Trebuchet MS"/>
          <w:sz w:val="24"/>
          <w:szCs w:val="24"/>
          <w:lang w:val="ro-RO"/>
        </w:rPr>
      </w:pPr>
    </w:p>
    <w:p w:rsidR="005D178D" w:rsidRPr="005D178D" w:rsidRDefault="005D178D" w:rsidP="005D178D">
      <w:pPr>
        <w:numPr>
          <w:ilvl w:val="0"/>
          <w:numId w:val="35"/>
        </w:numPr>
        <w:autoSpaceDE w:val="0"/>
        <w:autoSpaceDN w:val="0"/>
        <w:adjustRightInd w:val="0"/>
        <w:spacing w:after="200" w:line="276" w:lineRule="auto"/>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x-none"/>
        </w:rPr>
        <w:t>Tipuri de acțiuni eligibile și neeligibile</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b/>
          <w:bCs/>
          <w:sz w:val="24"/>
          <w:szCs w:val="24"/>
          <w:lang w:val="ro-RO"/>
        </w:rPr>
      </w:pPr>
      <w:r w:rsidRPr="005D178D">
        <w:rPr>
          <w:rFonts w:ascii="Arial Narrow" w:eastAsiaTheme="minorEastAsia" w:hAnsi="Arial Narrow" w:cs="Trebuchet MS"/>
          <w:b/>
          <w:bCs/>
          <w:sz w:val="24"/>
          <w:szCs w:val="24"/>
          <w:lang w:val="ro-RO"/>
        </w:rPr>
        <w:t>Tipuri de acțiuni eligibile</w:t>
      </w:r>
    </w:p>
    <w:p w:rsidR="005D178D" w:rsidRPr="005D178D" w:rsidRDefault="005D178D" w:rsidP="005D178D">
      <w:pPr>
        <w:numPr>
          <w:ilvl w:val="0"/>
          <w:numId w:val="32"/>
        </w:numPr>
        <w:autoSpaceDE w:val="0"/>
        <w:autoSpaceDN w:val="0"/>
        <w:adjustRightInd w:val="0"/>
        <w:spacing w:after="200" w:line="276" w:lineRule="auto"/>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color w:val="000000"/>
          <w:sz w:val="24"/>
          <w:szCs w:val="24"/>
          <w:lang w:val="x-none"/>
        </w:rPr>
        <w:t>Cooperarea între micii operatori în ceea ce privește organizarea de procese de lucru comune și partajarea echipamentelor și a resurselor și pentru dezvoltarea și/sau comercializarea de servicii turistice aferente turismului rural</w:t>
      </w:r>
    </w:p>
    <w:p w:rsidR="005D178D" w:rsidRPr="005D178D" w:rsidRDefault="005D178D" w:rsidP="005D178D">
      <w:pPr>
        <w:numPr>
          <w:ilvl w:val="0"/>
          <w:numId w:val="32"/>
        </w:numPr>
        <w:autoSpaceDE w:val="0"/>
        <w:autoSpaceDN w:val="0"/>
        <w:adjustRightInd w:val="0"/>
        <w:spacing w:after="200" w:line="276" w:lineRule="auto"/>
        <w:jc w:val="both"/>
        <w:rPr>
          <w:rFonts w:ascii="Arial Narrow" w:eastAsiaTheme="minorEastAsia" w:hAnsi="Arial Narrow" w:cs="Trebuchet MS"/>
          <w:color w:val="000000"/>
          <w:sz w:val="24"/>
          <w:szCs w:val="24"/>
          <w:lang w:val="x-none"/>
        </w:rPr>
      </w:pPr>
      <w:r w:rsidRPr="005D178D">
        <w:rPr>
          <w:rFonts w:ascii="Arial Narrow" w:eastAsiaTheme="minorEastAsia" w:hAnsi="Arial Narrow" w:cs="Trebuchet MS"/>
          <w:color w:val="000000"/>
          <w:sz w:val="24"/>
          <w:szCs w:val="24"/>
          <w:lang w:val="x-none"/>
        </w:rPr>
        <w:t>Diversificarea activităţilor agricole în direcţia activităţilor privind sănătatea, integrarea socială, agricultura sprijinită de comunitate, educaţia cu privire la mediu şi alimentaţie</w:t>
      </w:r>
    </w:p>
    <w:p w:rsidR="005D178D" w:rsidRPr="005D178D" w:rsidRDefault="005D178D" w:rsidP="005D178D">
      <w:pPr>
        <w:widowControl w:val="0"/>
        <w:autoSpaceDE w:val="0"/>
        <w:autoSpaceDN w:val="0"/>
        <w:adjustRightInd w:val="0"/>
        <w:spacing w:line="276" w:lineRule="auto"/>
        <w:ind w:left="420"/>
        <w:jc w:val="both"/>
        <w:rPr>
          <w:rFonts w:ascii="Arial Narrow" w:eastAsiaTheme="minorEastAsia" w:hAnsi="Arial Narrow" w:cstheme="minorBidi"/>
          <w:sz w:val="24"/>
          <w:szCs w:val="24"/>
        </w:rPr>
      </w:pPr>
      <w:proofErr w:type="gramStart"/>
      <w:r w:rsidRPr="005D178D">
        <w:rPr>
          <w:rFonts w:ascii="Arial Narrow" w:eastAsiaTheme="minorEastAsia" w:hAnsi="Arial Narrow" w:cstheme="minorBidi"/>
          <w:sz w:val="24"/>
          <w:szCs w:val="24"/>
        </w:rPr>
        <w:t>Aceste operațiuni vizează proiecte de cooperare între și din domeniul turismului, cultură, sănătate, mediu, social, meșteșuguri în scopul realizării unor investiții commune sau a unor activități commune pentru dezvoltarea micilor afaceri, a promovării activităților prin evenimente, instruiri, schimburi de bune practice, elaborarea în comun a unor platforme on-line, etc., cum ar fi: realizarea unui booking local pentru turism și meșteșuguri, realizarea unor rețele meșteșugărești pentru vânzarea în comun a produselor de artizanat, realizarea unor rețele a producătorilor de material de construcții tradiționale (șindrilă, stuf, paie, lemn, sticlă, lână etc.) și altele.</w:t>
      </w:r>
      <w:proofErr w:type="gramEnd"/>
    </w:p>
    <w:p w:rsidR="005D178D" w:rsidRPr="005D178D" w:rsidRDefault="005D178D" w:rsidP="005D178D">
      <w:pPr>
        <w:widowControl w:val="0"/>
        <w:autoSpaceDE w:val="0"/>
        <w:autoSpaceDN w:val="0"/>
        <w:adjustRightInd w:val="0"/>
        <w:spacing w:line="276" w:lineRule="auto"/>
        <w:ind w:left="420"/>
        <w:jc w:val="both"/>
        <w:rPr>
          <w:rFonts w:ascii="Arial Narrow" w:eastAsiaTheme="minorEastAsia" w:hAnsi="Arial Narrow" w:cstheme="minorBidi"/>
          <w:sz w:val="24"/>
          <w:szCs w:val="24"/>
        </w:rPr>
      </w:pPr>
    </w:p>
    <w:p w:rsidR="005D178D" w:rsidRPr="005D178D" w:rsidRDefault="005D178D" w:rsidP="005D178D">
      <w:pPr>
        <w:autoSpaceDE w:val="0"/>
        <w:autoSpaceDN w:val="0"/>
        <w:adjustRightInd w:val="0"/>
        <w:spacing w:line="276" w:lineRule="auto"/>
        <w:jc w:val="both"/>
        <w:rPr>
          <w:rFonts w:ascii="Arial Narrow" w:eastAsiaTheme="minorEastAsia" w:hAnsi="Arial Narrow" w:cs="Arial Narrow"/>
          <w:b/>
          <w:color w:val="000000"/>
          <w:sz w:val="24"/>
          <w:szCs w:val="24"/>
          <w:lang w:val="ro-RO"/>
        </w:rPr>
      </w:pPr>
      <w:r w:rsidRPr="005D178D">
        <w:rPr>
          <w:rFonts w:ascii="Arial Narrow" w:eastAsiaTheme="minorEastAsia" w:hAnsi="Arial Narrow" w:cs="Arial Narrow"/>
          <w:b/>
          <w:color w:val="000000"/>
          <w:sz w:val="24"/>
          <w:szCs w:val="24"/>
          <w:lang w:val="ro-RO"/>
        </w:rPr>
        <w:t xml:space="preserve">     Tipuri de acțiuni neeligibile</w:t>
      </w:r>
    </w:p>
    <w:p w:rsidR="005D178D" w:rsidRPr="005D178D" w:rsidRDefault="005D178D" w:rsidP="005D178D">
      <w:pPr>
        <w:numPr>
          <w:ilvl w:val="0"/>
          <w:numId w:val="29"/>
        </w:numPr>
        <w:spacing w:after="160" w:line="259" w:lineRule="auto"/>
        <w:contextualSpacing/>
        <w:rPr>
          <w:rFonts w:ascii="Arial Narrow" w:eastAsiaTheme="minorEastAsia" w:hAnsi="Arial Narrow" w:cstheme="minorHAnsi"/>
          <w:sz w:val="24"/>
          <w:szCs w:val="24"/>
        </w:rPr>
      </w:pPr>
      <w:r w:rsidRPr="005D178D">
        <w:rPr>
          <w:rFonts w:ascii="Arial Narrow" w:eastAsiaTheme="minorEastAsia" w:hAnsi="Arial Narrow" w:cstheme="minorHAnsi"/>
          <w:sz w:val="24"/>
          <w:szCs w:val="24"/>
        </w:rPr>
        <w:t xml:space="preserve">cheltuielile cu achiziţionarea de bunuri și echipamente „second hand”; </w:t>
      </w:r>
    </w:p>
    <w:p w:rsidR="005D178D" w:rsidRPr="005D178D" w:rsidRDefault="005D178D" w:rsidP="005D178D">
      <w:pPr>
        <w:numPr>
          <w:ilvl w:val="0"/>
          <w:numId w:val="29"/>
        </w:numPr>
        <w:spacing w:after="160" w:line="259" w:lineRule="auto"/>
        <w:contextualSpacing/>
        <w:rPr>
          <w:rFonts w:ascii="Arial Narrow" w:eastAsiaTheme="minorEastAsia" w:hAnsi="Arial Narrow" w:cstheme="minorHAnsi"/>
          <w:sz w:val="24"/>
          <w:szCs w:val="24"/>
        </w:rPr>
      </w:pPr>
      <w:r w:rsidRPr="005D178D">
        <w:rPr>
          <w:rFonts w:ascii="Arial Narrow" w:eastAsiaTheme="minorEastAsia" w:hAnsi="Arial Narrow" w:cstheme="minorHAnsi"/>
          <w:sz w:val="24"/>
          <w:szCs w:val="24"/>
        </w:rPr>
        <w:t xml:space="preserve">cheltuielile aferente certificării produselor de calitate; </w:t>
      </w:r>
    </w:p>
    <w:p w:rsidR="005D178D" w:rsidRPr="005D178D" w:rsidRDefault="005D178D" w:rsidP="005D178D">
      <w:pPr>
        <w:numPr>
          <w:ilvl w:val="0"/>
          <w:numId w:val="29"/>
        </w:numPr>
        <w:spacing w:after="160" w:line="259" w:lineRule="auto"/>
        <w:contextualSpacing/>
        <w:rPr>
          <w:rFonts w:ascii="Arial Narrow" w:eastAsiaTheme="minorEastAsia" w:hAnsi="Arial Narrow" w:cstheme="minorHAnsi"/>
          <w:sz w:val="24"/>
          <w:szCs w:val="24"/>
        </w:rPr>
      </w:pPr>
      <w:proofErr w:type="gramStart"/>
      <w:r w:rsidRPr="005D178D">
        <w:rPr>
          <w:rFonts w:ascii="Arial Narrow" w:eastAsiaTheme="minorEastAsia" w:hAnsi="Arial Narrow" w:cstheme="minorHAnsi"/>
          <w:sz w:val="24"/>
          <w:szCs w:val="24"/>
        </w:rPr>
        <w:lastRenderedPageBreak/>
        <w:t>cheltuieli</w:t>
      </w:r>
      <w:proofErr w:type="gramEnd"/>
      <w:r w:rsidRPr="005D178D">
        <w:rPr>
          <w:rFonts w:ascii="Arial Narrow" w:eastAsiaTheme="minorEastAsia" w:hAnsi="Arial Narrow" w:cstheme="minorHAnsi"/>
          <w:sz w:val="24"/>
          <w:szCs w:val="24"/>
        </w:rPr>
        <w:t xml:space="preserve"> efectuate înainte de  semnarea Contractului de Finanțare a proiectului cu excepţia costurilor generale definite la art 45, alin 2 litera c) a R (UE) nr. 1305/ 2013 care pot fi realizate înainte de depunerea Cererii de Finanțare; </w:t>
      </w:r>
    </w:p>
    <w:p w:rsidR="005D178D" w:rsidRPr="005D178D" w:rsidRDefault="005D178D" w:rsidP="005D178D">
      <w:pPr>
        <w:numPr>
          <w:ilvl w:val="0"/>
          <w:numId w:val="29"/>
        </w:numPr>
        <w:spacing w:after="160" w:line="259" w:lineRule="auto"/>
        <w:contextualSpacing/>
        <w:rPr>
          <w:rFonts w:ascii="Arial Narrow" w:eastAsiaTheme="minorEastAsia" w:hAnsi="Arial Narrow" w:cstheme="minorHAnsi"/>
          <w:sz w:val="24"/>
          <w:szCs w:val="24"/>
        </w:rPr>
      </w:pPr>
      <w:r w:rsidRPr="005D178D">
        <w:rPr>
          <w:rFonts w:ascii="Arial Narrow" w:eastAsiaTheme="minorEastAsia" w:hAnsi="Arial Narrow" w:cstheme="minorHAnsi"/>
          <w:sz w:val="24"/>
          <w:szCs w:val="24"/>
        </w:rPr>
        <w:t>cheltuieli cu achiziția mijloacelor de transport pentru uz personal și pentru transport persoane;</w:t>
      </w:r>
    </w:p>
    <w:p w:rsidR="005D178D" w:rsidRPr="005D178D" w:rsidRDefault="005D178D" w:rsidP="005D178D">
      <w:pPr>
        <w:numPr>
          <w:ilvl w:val="0"/>
          <w:numId w:val="29"/>
        </w:numPr>
        <w:spacing w:after="160" w:line="259" w:lineRule="auto"/>
        <w:contextualSpacing/>
        <w:rPr>
          <w:rFonts w:ascii="Arial Narrow" w:eastAsiaTheme="minorEastAsia" w:hAnsi="Arial Narrow" w:cstheme="minorHAnsi"/>
          <w:sz w:val="24"/>
          <w:szCs w:val="24"/>
        </w:rPr>
      </w:pPr>
      <w:r w:rsidRPr="005D178D">
        <w:rPr>
          <w:rFonts w:ascii="Arial Narrow" w:eastAsiaTheme="minorEastAsia" w:hAnsi="Arial Narrow" w:cstheme="minorHAnsi"/>
          <w:sz w:val="24"/>
          <w:szCs w:val="24"/>
        </w:rPr>
        <w:t xml:space="preserve">construcția  sau modernizarea locuinței și sediilor sociale; </w:t>
      </w:r>
    </w:p>
    <w:p w:rsidR="005D178D" w:rsidRPr="005D178D" w:rsidRDefault="005D178D" w:rsidP="005D178D">
      <w:pPr>
        <w:numPr>
          <w:ilvl w:val="0"/>
          <w:numId w:val="29"/>
        </w:numPr>
        <w:spacing w:after="160" w:line="259" w:lineRule="auto"/>
        <w:contextualSpacing/>
        <w:rPr>
          <w:rFonts w:ascii="Arial Narrow" w:eastAsiaTheme="minorEastAsia" w:hAnsi="Arial Narrow" w:cstheme="minorHAnsi"/>
          <w:sz w:val="24"/>
          <w:szCs w:val="24"/>
        </w:rPr>
      </w:pPr>
      <w:r w:rsidRPr="005D178D">
        <w:rPr>
          <w:rFonts w:ascii="Arial Narrow" w:eastAsiaTheme="minorEastAsia" w:hAnsi="Arial Narrow" w:cstheme="minorHAnsi"/>
          <w:sz w:val="24"/>
          <w:szCs w:val="24"/>
        </w:rPr>
        <w:t xml:space="preserve">cheltuieli cu investițiile ce fac obiectul dublei finanțări care vizează aceleași costuri eligibile; </w:t>
      </w:r>
    </w:p>
    <w:p w:rsidR="005D178D" w:rsidRPr="005D178D" w:rsidRDefault="005D178D" w:rsidP="005D178D">
      <w:pPr>
        <w:numPr>
          <w:ilvl w:val="0"/>
          <w:numId w:val="29"/>
        </w:numPr>
        <w:spacing w:after="160" w:line="259" w:lineRule="auto"/>
        <w:contextualSpacing/>
        <w:rPr>
          <w:rFonts w:ascii="Arial Narrow" w:eastAsiaTheme="minorEastAsia" w:hAnsi="Arial Narrow" w:cstheme="minorHAnsi"/>
          <w:sz w:val="24"/>
          <w:szCs w:val="24"/>
        </w:rPr>
      </w:pPr>
      <w:proofErr w:type="gramStart"/>
      <w:r w:rsidRPr="005D178D">
        <w:rPr>
          <w:rFonts w:ascii="Arial Narrow" w:eastAsiaTheme="minorEastAsia" w:hAnsi="Arial Narrow" w:cstheme="minorHAnsi"/>
          <w:sz w:val="24"/>
          <w:szCs w:val="24"/>
        </w:rPr>
        <w:t>cheltuieli</w:t>
      </w:r>
      <w:proofErr w:type="gramEnd"/>
      <w:r w:rsidRPr="005D178D">
        <w:rPr>
          <w:rFonts w:ascii="Arial Narrow" w:eastAsiaTheme="minorEastAsia" w:hAnsi="Arial Narrow" w:cstheme="minorHAnsi"/>
          <w:sz w:val="24"/>
          <w:szCs w:val="24"/>
        </w:rPr>
        <w:t xml:space="preserve"> neeligibile în conformitate cu art. </w:t>
      </w:r>
      <w:proofErr w:type="gramStart"/>
      <w:r w:rsidRPr="005D178D">
        <w:rPr>
          <w:rFonts w:ascii="Arial Narrow" w:eastAsiaTheme="minorEastAsia" w:hAnsi="Arial Narrow" w:cstheme="minorHAnsi"/>
          <w:sz w:val="24"/>
          <w:szCs w:val="24"/>
        </w:rPr>
        <w:t>69</w:t>
      </w:r>
      <w:proofErr w:type="gramEnd"/>
      <w:r w:rsidRPr="005D178D">
        <w:rPr>
          <w:rFonts w:ascii="Arial Narrow" w:eastAsiaTheme="minorEastAsia" w:hAnsi="Arial Narrow" w:cstheme="minorHAnsi"/>
          <w:sz w:val="24"/>
          <w:szCs w:val="24"/>
        </w:rPr>
        <w:t xml:space="preserve">, alin (3) din R (UE) nr. 1303/ 2013 și anume: </w:t>
      </w:r>
    </w:p>
    <w:p w:rsidR="005D178D" w:rsidRPr="005D178D" w:rsidRDefault="005D178D" w:rsidP="005D178D">
      <w:pPr>
        <w:numPr>
          <w:ilvl w:val="1"/>
          <w:numId w:val="29"/>
        </w:numPr>
        <w:spacing w:after="200" w:line="276" w:lineRule="auto"/>
        <w:contextualSpacing/>
        <w:rPr>
          <w:rFonts w:ascii="Arial Narrow" w:eastAsiaTheme="minorEastAsia" w:hAnsi="Arial Narrow" w:cstheme="minorHAnsi"/>
          <w:sz w:val="24"/>
          <w:szCs w:val="24"/>
        </w:rPr>
      </w:pPr>
      <w:r w:rsidRPr="005D178D">
        <w:rPr>
          <w:rFonts w:ascii="Arial Narrow" w:eastAsiaTheme="minorEastAsia" w:hAnsi="Arial Narrow" w:cstheme="minorHAnsi"/>
          <w:sz w:val="24"/>
          <w:szCs w:val="24"/>
        </w:rPr>
        <w:t xml:space="preserve">dobânzi debitoare, cu excepţia celor referitoare la granturi acordate sub forma unei subvenţii pentru dobândă sau a unei subvenţii pentru comisioanele de garantare și pentru fondurile mutuale în condițiile menționate în M17; </w:t>
      </w:r>
    </w:p>
    <w:p w:rsidR="005D178D" w:rsidRPr="005D178D" w:rsidRDefault="005D178D" w:rsidP="005D178D">
      <w:pPr>
        <w:numPr>
          <w:ilvl w:val="1"/>
          <w:numId w:val="29"/>
        </w:numPr>
        <w:spacing w:after="200" w:line="276" w:lineRule="auto"/>
        <w:contextualSpacing/>
        <w:rPr>
          <w:rFonts w:ascii="Arial Narrow" w:eastAsiaTheme="minorEastAsia" w:hAnsi="Arial Narrow" w:cstheme="minorHAnsi"/>
          <w:sz w:val="24"/>
          <w:szCs w:val="24"/>
        </w:rPr>
      </w:pPr>
      <w:r w:rsidRPr="005D178D">
        <w:rPr>
          <w:rFonts w:ascii="Arial Narrow" w:eastAsiaTheme="minorEastAsia" w:hAnsi="Arial Narrow" w:cstheme="minorHAnsi"/>
          <w:sz w:val="24"/>
          <w:szCs w:val="24"/>
        </w:rPr>
        <w:t xml:space="preserve">achiziţionarea de terenuri construite și neconstruite;  </w:t>
      </w:r>
    </w:p>
    <w:p w:rsidR="005D178D" w:rsidRPr="005D178D" w:rsidRDefault="005D178D" w:rsidP="005D178D">
      <w:pPr>
        <w:autoSpaceDE w:val="0"/>
        <w:autoSpaceDN w:val="0"/>
        <w:adjustRightInd w:val="0"/>
        <w:spacing w:line="276" w:lineRule="auto"/>
        <w:ind w:left="720"/>
        <w:contextualSpacing/>
        <w:jc w:val="both"/>
        <w:rPr>
          <w:rFonts w:ascii="Arial Narrow" w:eastAsiaTheme="minorEastAsia" w:hAnsi="Arial Narrow" w:cs="Arial Narrow"/>
          <w:b/>
          <w:color w:val="000000"/>
          <w:sz w:val="24"/>
          <w:szCs w:val="24"/>
          <w:lang w:val="ro-RO"/>
        </w:rPr>
      </w:pPr>
      <w:r w:rsidRPr="005D178D">
        <w:rPr>
          <w:rFonts w:ascii="Arial Narrow" w:eastAsiaTheme="minorEastAsia" w:hAnsi="Arial Narrow" w:cstheme="minorHAnsi"/>
          <w:sz w:val="24"/>
          <w:szCs w:val="24"/>
        </w:rPr>
        <w:t xml:space="preserve">(c) </w:t>
      </w:r>
      <w:proofErr w:type="gramStart"/>
      <w:r w:rsidRPr="005D178D">
        <w:rPr>
          <w:rFonts w:ascii="Arial Narrow" w:eastAsiaTheme="minorEastAsia" w:hAnsi="Arial Narrow" w:cstheme="minorHAnsi"/>
          <w:sz w:val="24"/>
          <w:szCs w:val="24"/>
        </w:rPr>
        <w:t>taxa</w:t>
      </w:r>
      <w:proofErr w:type="gramEnd"/>
      <w:r w:rsidRPr="005D178D">
        <w:rPr>
          <w:rFonts w:ascii="Arial Narrow" w:eastAsiaTheme="minorEastAsia" w:hAnsi="Arial Narrow" w:cstheme="minorHAnsi"/>
          <w:sz w:val="24"/>
          <w:szCs w:val="24"/>
        </w:rPr>
        <w:t xml:space="preserve"> pe valoarea adăugată, cu excepţia cazului în care aceasta nu se poate recupera în temeiul legislaţiei naţionale privind TVA-ul și a prevederilor specifice pentru instrumente financiare;</w:t>
      </w:r>
    </w:p>
    <w:p w:rsidR="005D178D" w:rsidRPr="005D178D" w:rsidRDefault="005D178D" w:rsidP="005D178D">
      <w:pPr>
        <w:autoSpaceDE w:val="0"/>
        <w:autoSpaceDN w:val="0"/>
        <w:adjustRightInd w:val="0"/>
        <w:spacing w:line="276" w:lineRule="auto"/>
        <w:ind w:left="426"/>
        <w:jc w:val="both"/>
        <w:rPr>
          <w:rFonts w:ascii="Arial Narrow" w:eastAsiaTheme="minorEastAsia" w:hAnsi="Arial Narrow" w:cs="Trebuchet MS"/>
          <w:color w:val="000000"/>
          <w:sz w:val="24"/>
          <w:szCs w:val="24"/>
        </w:rPr>
      </w:pPr>
    </w:p>
    <w:p w:rsidR="005D178D" w:rsidRPr="005D178D" w:rsidRDefault="005D178D" w:rsidP="005D178D">
      <w:pPr>
        <w:autoSpaceDE w:val="0"/>
        <w:autoSpaceDN w:val="0"/>
        <w:adjustRightInd w:val="0"/>
        <w:spacing w:line="276" w:lineRule="auto"/>
        <w:ind w:left="426"/>
        <w:jc w:val="both"/>
        <w:rPr>
          <w:rFonts w:ascii="Arial Narrow" w:eastAsiaTheme="minorEastAsia" w:hAnsi="Arial Narrow" w:cs="Trebuchet MS"/>
          <w:color w:val="000000"/>
          <w:sz w:val="24"/>
          <w:szCs w:val="24"/>
        </w:rPr>
      </w:pPr>
    </w:p>
    <w:p w:rsidR="005D178D" w:rsidRPr="005D178D" w:rsidRDefault="005D178D" w:rsidP="005D178D">
      <w:pPr>
        <w:autoSpaceDE w:val="0"/>
        <w:autoSpaceDN w:val="0"/>
        <w:adjustRightInd w:val="0"/>
        <w:spacing w:line="276" w:lineRule="auto"/>
        <w:ind w:left="426"/>
        <w:jc w:val="both"/>
        <w:rPr>
          <w:rFonts w:ascii="Arial Narrow" w:eastAsiaTheme="minorEastAsia" w:hAnsi="Arial Narrow" w:cs="Trebuchet MS"/>
          <w:color w:val="000000"/>
          <w:sz w:val="24"/>
          <w:szCs w:val="24"/>
        </w:rPr>
      </w:pPr>
    </w:p>
    <w:p w:rsidR="005D178D" w:rsidRPr="005D178D" w:rsidRDefault="005D178D" w:rsidP="005D178D">
      <w:pPr>
        <w:widowControl w:val="0"/>
        <w:autoSpaceDE w:val="0"/>
        <w:autoSpaceDN w:val="0"/>
        <w:adjustRightInd w:val="0"/>
        <w:spacing w:line="276" w:lineRule="auto"/>
        <w:ind w:left="360"/>
        <w:jc w:val="both"/>
        <w:rPr>
          <w:rFonts w:ascii="Arial Narrow" w:eastAsiaTheme="minorEastAsia" w:hAnsi="Arial Narrow" w:cstheme="minorBidi"/>
          <w:b/>
          <w:sz w:val="24"/>
          <w:szCs w:val="24"/>
        </w:rPr>
      </w:pPr>
      <w:r w:rsidRPr="005D178D">
        <w:rPr>
          <w:rFonts w:ascii="Arial Narrow" w:eastAsiaTheme="minorEastAsia" w:hAnsi="Arial Narrow" w:cs="Trebuchet MS"/>
          <w:b/>
          <w:bCs/>
          <w:sz w:val="24"/>
          <w:szCs w:val="24"/>
          <w:u w:val="single"/>
        </w:rPr>
        <w:t>7.  Condiții de eligibilitate</w:t>
      </w:r>
    </w:p>
    <w:p w:rsidR="005D178D" w:rsidRPr="005D178D" w:rsidRDefault="005D178D" w:rsidP="005D178D">
      <w:pPr>
        <w:numPr>
          <w:ilvl w:val="0"/>
          <w:numId w:val="38"/>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Solicitantul trebuie să se încadreze în categoria beneficiarilor eligibili;</w:t>
      </w:r>
    </w:p>
    <w:p w:rsidR="005D178D" w:rsidRPr="005D178D" w:rsidRDefault="005D178D" w:rsidP="005D178D">
      <w:pPr>
        <w:numPr>
          <w:ilvl w:val="0"/>
          <w:numId w:val="38"/>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Solicitantul va depune un acord de cooperare care face referire la o perioadă de funcționare cel puțin egală cu perioada pentru care se acordă finanțarea; (durata de implementare a proiectului</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38"/>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Solicitantul implementează planul de afaceri/marketing/studiul de fezabilitate aprobat</w:t>
      </w:r>
      <w:r w:rsidRPr="005D178D">
        <w:rPr>
          <w:rFonts w:ascii="Arial Narrow" w:eastAsiaTheme="minorEastAsia" w:hAnsi="Arial Narrow" w:cs="Trebuchet MS"/>
          <w:sz w:val="24"/>
          <w:szCs w:val="24"/>
          <w:lang w:val="ro-RO"/>
        </w:rPr>
        <w:t>;</w:t>
      </w:r>
      <w:r w:rsidRPr="005D178D">
        <w:rPr>
          <w:rFonts w:ascii="Arial Narrow" w:eastAsiaTheme="minorEastAsia" w:hAnsi="Arial Narrow" w:cs="Trebuchet MS"/>
          <w:sz w:val="24"/>
          <w:szCs w:val="24"/>
          <w:lang w:val="x-none"/>
        </w:rPr>
        <w:t xml:space="preserve"> </w:t>
      </w:r>
    </w:p>
    <w:p w:rsidR="005D178D" w:rsidRPr="005D178D" w:rsidRDefault="005D178D" w:rsidP="005D178D">
      <w:pPr>
        <w:autoSpaceDE w:val="0"/>
        <w:autoSpaceDN w:val="0"/>
        <w:adjustRightInd w:val="0"/>
        <w:spacing w:line="276" w:lineRule="auto"/>
        <w:ind w:left="360"/>
        <w:jc w:val="both"/>
        <w:rPr>
          <w:rFonts w:ascii="Arial Narrow" w:eastAsiaTheme="minorEastAsia" w:hAnsi="Arial Narrow" w:cs="Trebuchet MS"/>
          <w:sz w:val="24"/>
          <w:szCs w:val="24"/>
          <w:lang w:val="x-none"/>
        </w:rPr>
      </w:pPr>
    </w:p>
    <w:p w:rsidR="005D178D" w:rsidRPr="005D178D" w:rsidRDefault="005D178D" w:rsidP="005D178D">
      <w:pPr>
        <w:autoSpaceDE w:val="0"/>
        <w:autoSpaceDN w:val="0"/>
        <w:adjustRightInd w:val="0"/>
        <w:spacing w:line="276" w:lineRule="auto"/>
        <w:ind w:left="360"/>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ro-RO"/>
        </w:rPr>
        <w:t xml:space="preserve">8.  </w:t>
      </w:r>
      <w:r w:rsidRPr="005D178D">
        <w:rPr>
          <w:rFonts w:ascii="Arial Narrow" w:eastAsiaTheme="minorEastAsia" w:hAnsi="Arial Narrow" w:cs="Trebuchet MS"/>
          <w:b/>
          <w:bCs/>
          <w:sz w:val="24"/>
          <w:szCs w:val="24"/>
          <w:u w:val="single"/>
          <w:lang w:val="x-none"/>
        </w:rPr>
        <w:t>Criterii de selecție</w:t>
      </w:r>
    </w:p>
    <w:p w:rsidR="005D178D" w:rsidRPr="005D178D" w:rsidRDefault="005D178D" w:rsidP="005D178D">
      <w:pPr>
        <w:numPr>
          <w:ilvl w:val="0"/>
          <w:numId w:val="39"/>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Principiul reprezentativității cooperării, respectiv numărul de parteneri implicați</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39"/>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Principiul structurii adecvate de parteneriat, pe baza obiectivului proiectului</w:t>
      </w:r>
      <w:r w:rsidRPr="005D178D">
        <w:rPr>
          <w:rFonts w:ascii="Arial Narrow" w:eastAsiaTheme="minorEastAsia" w:hAnsi="Arial Narrow" w:cs="Trebuchet MS"/>
          <w:sz w:val="24"/>
          <w:szCs w:val="24"/>
          <w:lang w:val="ro-RO"/>
        </w:rPr>
        <w:t>;</w:t>
      </w:r>
    </w:p>
    <w:p w:rsidR="005D178D" w:rsidRPr="005D178D" w:rsidRDefault="005D178D" w:rsidP="005D178D">
      <w:pPr>
        <w:numPr>
          <w:ilvl w:val="0"/>
          <w:numId w:val="39"/>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Principiul diversității activităţilor implicate</w:t>
      </w:r>
      <w:r w:rsidRPr="005D178D">
        <w:rPr>
          <w:rFonts w:ascii="Arial Narrow" w:eastAsiaTheme="minorEastAsia" w:hAnsi="Arial Narrow" w:cs="Trebuchet MS"/>
          <w:sz w:val="24"/>
          <w:szCs w:val="24"/>
          <w:lang w:val="ro-RO"/>
        </w:rPr>
        <w:t>;</w:t>
      </w:r>
    </w:p>
    <w:p w:rsidR="005D178D" w:rsidRPr="005D178D" w:rsidRDefault="005D178D" w:rsidP="005D178D">
      <w:pPr>
        <w:autoSpaceDE w:val="0"/>
        <w:autoSpaceDN w:val="0"/>
        <w:adjustRightInd w:val="0"/>
        <w:spacing w:line="276" w:lineRule="auto"/>
        <w:ind w:right="15"/>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xml:space="preserve">Criteriile de selecție vor fi detaliate suplimentar în ghidul solicitantului şi vor respecta prevederile art. 49 al Reg. (UE) nr. 1305/2013 </w:t>
      </w:r>
      <w:r w:rsidRPr="005D178D">
        <w:rPr>
          <w:rFonts w:ascii="Arial" w:eastAsiaTheme="minorEastAsia" w:hAnsi="Arial" w:cs="Arial"/>
          <w:sz w:val="24"/>
          <w:szCs w:val="24"/>
          <w:lang w:val="x-none"/>
        </w:rPr>
        <w:t>ȋ</w:t>
      </w:r>
      <w:r w:rsidRPr="005D178D">
        <w:rPr>
          <w:rFonts w:ascii="Arial Narrow" w:eastAsiaTheme="minorEastAsia" w:hAnsi="Arial Narrow" w:cs="Trebuchet MS"/>
          <w:sz w:val="24"/>
          <w:szCs w:val="24"/>
          <w:lang w:val="x-none"/>
        </w:rPr>
        <w:t>n ceea ce priveşte tratamentul egal al solicitanților, o mai bună utilizare a resurselor financiare și direcționarea măsurilor în conformitate cu prioritățile Uniunii în materie de dezvoltare rurală;</w:t>
      </w:r>
    </w:p>
    <w:p w:rsidR="005D178D" w:rsidRPr="005D178D" w:rsidRDefault="005D178D" w:rsidP="005D178D">
      <w:pPr>
        <w:autoSpaceDE w:val="0"/>
        <w:autoSpaceDN w:val="0"/>
        <w:adjustRightInd w:val="0"/>
        <w:spacing w:line="276" w:lineRule="auto"/>
        <w:ind w:right="15"/>
        <w:jc w:val="both"/>
        <w:rPr>
          <w:rFonts w:ascii="Arial Narrow" w:eastAsiaTheme="minorEastAsia" w:hAnsi="Arial Narrow" w:cs="Trebuchet MS"/>
          <w:sz w:val="24"/>
          <w:szCs w:val="24"/>
          <w:lang w:val="x-none"/>
        </w:rPr>
      </w:pPr>
    </w:p>
    <w:p w:rsidR="005D178D" w:rsidRPr="005D178D" w:rsidRDefault="005D178D" w:rsidP="005D178D">
      <w:pPr>
        <w:autoSpaceDE w:val="0"/>
        <w:autoSpaceDN w:val="0"/>
        <w:adjustRightInd w:val="0"/>
        <w:spacing w:line="276" w:lineRule="auto"/>
        <w:ind w:left="720"/>
        <w:jc w:val="both"/>
        <w:rPr>
          <w:rFonts w:ascii="Arial Narrow" w:eastAsiaTheme="minorEastAsia" w:hAnsi="Arial Narrow" w:cs="Trebuchet MS"/>
          <w:b/>
          <w:bCs/>
          <w:sz w:val="24"/>
          <w:szCs w:val="24"/>
          <w:u w:val="single"/>
          <w:lang w:val="x-none"/>
        </w:rPr>
      </w:pPr>
      <w:r w:rsidRPr="005D178D">
        <w:rPr>
          <w:rFonts w:ascii="Arial Narrow" w:eastAsiaTheme="minorEastAsia" w:hAnsi="Arial Narrow" w:cs="Trebuchet MS"/>
          <w:b/>
          <w:bCs/>
          <w:sz w:val="24"/>
          <w:szCs w:val="24"/>
          <w:u w:val="single"/>
          <w:lang w:val="ro-RO"/>
        </w:rPr>
        <w:t xml:space="preserve">9.  </w:t>
      </w:r>
      <w:r w:rsidRPr="005D178D">
        <w:rPr>
          <w:rFonts w:ascii="Arial Narrow" w:eastAsiaTheme="minorEastAsia" w:hAnsi="Arial Narrow" w:cs="Trebuchet MS"/>
          <w:b/>
          <w:bCs/>
          <w:sz w:val="24"/>
          <w:szCs w:val="24"/>
          <w:u w:val="single"/>
          <w:lang w:val="x-none"/>
        </w:rPr>
        <w:t>Sume (aplicabile) și rata sprijinului</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Intensitatea sprijinului va fi:</w:t>
      </w:r>
    </w:p>
    <w:p w:rsidR="005D178D" w:rsidRPr="005D178D" w:rsidRDefault="005D178D" w:rsidP="005D178D">
      <w:pPr>
        <w:numPr>
          <w:ilvl w:val="0"/>
          <w:numId w:val="37"/>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xml:space="preserve">pentru operațiunile generatoare de venit: până la 90%; </w:t>
      </w:r>
    </w:p>
    <w:p w:rsidR="005D178D" w:rsidRPr="005D178D" w:rsidRDefault="005D178D" w:rsidP="005D178D">
      <w:pPr>
        <w:numPr>
          <w:ilvl w:val="1"/>
          <w:numId w:val="37"/>
        </w:numPr>
        <w:autoSpaceDE w:val="0"/>
        <w:autoSpaceDN w:val="0"/>
        <w:adjustRightInd w:val="0"/>
        <w:spacing w:after="200"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pentru operațiunile negeneratoare de venit: până la 100%.;</w:t>
      </w: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30% din valoarea totală a proiectului incluzând costurile de consultanţă şi proiectare (10%) vor fi costuri pentru funcţionarea a reţelei, diferenţa fiind costurile directe de impementare a planului de afaceri;</w:t>
      </w:r>
    </w:p>
    <w:p w:rsidR="00AB2F46" w:rsidRDefault="00AB2F46" w:rsidP="005D178D">
      <w:pPr>
        <w:autoSpaceDE w:val="0"/>
        <w:autoSpaceDN w:val="0"/>
        <w:adjustRightInd w:val="0"/>
        <w:spacing w:line="276" w:lineRule="auto"/>
        <w:jc w:val="both"/>
        <w:rPr>
          <w:rFonts w:ascii="Arial Narrow" w:eastAsiaTheme="minorEastAsia" w:hAnsi="Arial Narrow" w:cs="Trebuchet MS"/>
          <w:b/>
          <w:bCs/>
          <w:sz w:val="24"/>
          <w:szCs w:val="24"/>
        </w:rPr>
      </w:pP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b/>
          <w:bCs/>
          <w:sz w:val="24"/>
          <w:szCs w:val="24"/>
          <w:lang w:val="x-none"/>
        </w:rPr>
      </w:pPr>
      <w:r w:rsidRPr="005D178D">
        <w:rPr>
          <w:rFonts w:ascii="Arial Narrow" w:eastAsiaTheme="minorEastAsia" w:hAnsi="Arial Narrow" w:cs="Trebuchet MS"/>
          <w:b/>
          <w:bCs/>
          <w:sz w:val="24"/>
          <w:szCs w:val="24"/>
          <w:lang w:val="x-none"/>
        </w:rPr>
        <w:t xml:space="preserve">Valoarea proiectelor: maxim </w:t>
      </w:r>
    </w:p>
    <w:p w:rsidR="005D178D" w:rsidRDefault="005D178D" w:rsidP="005D178D">
      <w:pPr>
        <w:autoSpaceDE w:val="0"/>
        <w:autoSpaceDN w:val="0"/>
        <w:adjustRightInd w:val="0"/>
        <w:spacing w:line="276" w:lineRule="auto"/>
        <w:jc w:val="both"/>
        <w:rPr>
          <w:rFonts w:ascii="Arial Narrow" w:eastAsiaTheme="minorEastAsia" w:hAnsi="Arial Narrow" w:cs="Trebuchet MS"/>
          <w:b/>
          <w:bCs/>
          <w:sz w:val="24"/>
          <w:szCs w:val="24"/>
          <w:lang w:val="ro-RO"/>
        </w:rPr>
      </w:pPr>
      <w:r w:rsidRPr="005D178D">
        <w:rPr>
          <w:rFonts w:ascii="Arial Narrow" w:eastAsiaTheme="minorEastAsia" w:hAnsi="Arial Narrow" w:cs="Trebuchet MS"/>
          <w:b/>
          <w:bCs/>
          <w:sz w:val="24"/>
          <w:szCs w:val="24"/>
          <w:lang w:val="ro-RO"/>
        </w:rPr>
        <w:t xml:space="preserve">                                              40.000,00 €</w:t>
      </w:r>
    </w:p>
    <w:p w:rsidR="00AB2F46" w:rsidRPr="005D178D" w:rsidRDefault="00AB2F46" w:rsidP="005D178D">
      <w:pPr>
        <w:autoSpaceDE w:val="0"/>
        <w:autoSpaceDN w:val="0"/>
        <w:adjustRightInd w:val="0"/>
        <w:spacing w:line="276" w:lineRule="auto"/>
        <w:jc w:val="both"/>
        <w:rPr>
          <w:rFonts w:ascii="Arial Narrow" w:eastAsiaTheme="minorEastAsia" w:hAnsi="Arial Narrow" w:cs="Trebuchet MS"/>
          <w:b/>
          <w:bCs/>
          <w:sz w:val="24"/>
          <w:szCs w:val="24"/>
          <w:lang w:val="ro-RO"/>
        </w:rPr>
      </w:pPr>
    </w:p>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lang w:val="x-none"/>
        </w:rPr>
      </w:pPr>
      <w:r w:rsidRPr="005D178D">
        <w:rPr>
          <w:rFonts w:ascii="Arial Narrow" w:eastAsiaTheme="minorEastAsia" w:hAnsi="Arial Narrow" w:cs="Trebuchet MS"/>
          <w:sz w:val="24"/>
          <w:szCs w:val="24"/>
          <w:lang w:val="x-none"/>
        </w:rPr>
        <w:t xml:space="preserve">Intensitatea s-a stabilit conform Anexei ÎI reg 1305/2013 acolo unde operaţiunile se regăsesc în regulament (pentru investiţiile din planul de afaceri) şi de către parteneriat pentru cele care nu se regăsesc. </w:t>
      </w:r>
    </w:p>
    <w:p w:rsidR="005D178D" w:rsidRPr="005D178D" w:rsidRDefault="005D178D" w:rsidP="005D178D">
      <w:pPr>
        <w:widowControl w:val="0"/>
        <w:autoSpaceDE w:val="0"/>
        <w:autoSpaceDN w:val="0"/>
        <w:adjustRightInd w:val="0"/>
        <w:spacing w:line="276" w:lineRule="auto"/>
        <w:ind w:left="720"/>
        <w:contextualSpacing/>
        <w:jc w:val="both"/>
        <w:rPr>
          <w:rFonts w:ascii="Arial Narrow" w:eastAsiaTheme="minorEastAsia" w:hAnsi="Arial Narrow" w:cstheme="minorBidi"/>
          <w:b/>
          <w:sz w:val="24"/>
          <w:szCs w:val="24"/>
        </w:rPr>
      </w:pPr>
    </w:p>
    <w:p w:rsidR="005D178D" w:rsidRPr="005D178D" w:rsidRDefault="005D178D" w:rsidP="005D178D">
      <w:pPr>
        <w:widowControl w:val="0"/>
        <w:autoSpaceDE w:val="0"/>
        <w:autoSpaceDN w:val="0"/>
        <w:adjustRightInd w:val="0"/>
        <w:spacing w:line="276" w:lineRule="auto"/>
        <w:ind w:left="360"/>
        <w:jc w:val="both"/>
        <w:rPr>
          <w:rFonts w:ascii="Arial Narrow" w:eastAsiaTheme="minorEastAsia" w:hAnsi="Arial Narrow" w:cstheme="minorBidi"/>
          <w:b/>
          <w:sz w:val="24"/>
          <w:szCs w:val="24"/>
          <w:u w:val="single"/>
        </w:rPr>
      </w:pPr>
      <w:r w:rsidRPr="005D178D">
        <w:rPr>
          <w:rFonts w:ascii="Arial Narrow" w:eastAsiaTheme="minorEastAsia" w:hAnsi="Arial Narrow" w:cs="Trebuchet MS"/>
          <w:b/>
          <w:bCs/>
          <w:sz w:val="24"/>
          <w:szCs w:val="24"/>
        </w:rPr>
        <w:t xml:space="preserve">    </w:t>
      </w:r>
      <w:r w:rsidRPr="005D178D">
        <w:rPr>
          <w:rFonts w:ascii="Arial Narrow" w:eastAsiaTheme="minorEastAsia" w:hAnsi="Arial Narrow" w:cs="Trebuchet MS"/>
          <w:b/>
          <w:bCs/>
          <w:sz w:val="24"/>
          <w:szCs w:val="24"/>
          <w:u w:val="single"/>
        </w:rPr>
        <w:t>10.  Indicatori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49"/>
      </w:tblGrid>
      <w:tr w:rsidR="005D178D" w:rsidRPr="005D178D" w:rsidTr="007A6113">
        <w:tc>
          <w:tcPr>
            <w:tcW w:w="3168" w:type="dxa"/>
            <w:vAlign w:val="center"/>
          </w:tcPr>
          <w:p w:rsidR="005D178D" w:rsidRPr="005D178D" w:rsidRDefault="005D178D" w:rsidP="005D178D">
            <w:pPr>
              <w:autoSpaceDE w:val="0"/>
              <w:autoSpaceDN w:val="0"/>
              <w:adjustRightInd w:val="0"/>
              <w:spacing w:line="276" w:lineRule="auto"/>
              <w:jc w:val="center"/>
              <w:rPr>
                <w:rFonts w:ascii="Arial Narrow" w:eastAsiaTheme="minorEastAsia" w:hAnsi="Arial Narrow" w:cs="Trebuchet MS"/>
                <w:sz w:val="24"/>
                <w:szCs w:val="24"/>
              </w:rPr>
            </w:pPr>
            <w:r w:rsidRPr="005D178D">
              <w:rPr>
                <w:rFonts w:ascii="Arial Narrow" w:eastAsiaTheme="minorEastAsia" w:hAnsi="Arial Narrow" w:cs="Trebuchet MS"/>
                <w:sz w:val="24"/>
                <w:szCs w:val="24"/>
              </w:rPr>
              <w:t>Domenii de intervenție</w:t>
            </w:r>
          </w:p>
        </w:tc>
        <w:tc>
          <w:tcPr>
            <w:tcW w:w="5849" w:type="dxa"/>
          </w:tcPr>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rPr>
            </w:pPr>
            <w:r w:rsidRPr="005D178D">
              <w:rPr>
                <w:rFonts w:ascii="Arial Narrow" w:eastAsiaTheme="minorEastAsia" w:hAnsi="Arial Narrow" w:cs="Trebuchet MS"/>
                <w:sz w:val="24"/>
                <w:szCs w:val="24"/>
              </w:rPr>
              <w:t>Indicator de monitorizare</w:t>
            </w:r>
          </w:p>
        </w:tc>
      </w:tr>
      <w:tr w:rsidR="005D178D" w:rsidRPr="005D178D" w:rsidTr="00AB2F46">
        <w:trPr>
          <w:trHeight w:val="899"/>
        </w:trPr>
        <w:tc>
          <w:tcPr>
            <w:tcW w:w="3168" w:type="dxa"/>
            <w:vAlign w:val="center"/>
          </w:tcPr>
          <w:p w:rsidR="005D178D" w:rsidRPr="005D178D" w:rsidRDefault="005D178D" w:rsidP="005D178D">
            <w:pPr>
              <w:autoSpaceDE w:val="0"/>
              <w:autoSpaceDN w:val="0"/>
              <w:adjustRightInd w:val="0"/>
              <w:spacing w:line="276" w:lineRule="auto"/>
              <w:jc w:val="center"/>
              <w:rPr>
                <w:rFonts w:ascii="Arial Narrow" w:eastAsiaTheme="minorEastAsia" w:hAnsi="Arial Narrow" w:cs="Trebuchet MS"/>
                <w:sz w:val="24"/>
                <w:szCs w:val="24"/>
              </w:rPr>
            </w:pPr>
            <w:r w:rsidRPr="005D178D">
              <w:rPr>
                <w:rFonts w:ascii="Arial Narrow" w:eastAsiaTheme="minorEastAsia" w:hAnsi="Arial Narrow" w:cs="Trebuchet MS"/>
                <w:sz w:val="24"/>
                <w:szCs w:val="24"/>
              </w:rPr>
              <w:t>1B</w:t>
            </w:r>
          </w:p>
        </w:tc>
        <w:tc>
          <w:tcPr>
            <w:tcW w:w="584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33"/>
            </w:tblGrid>
            <w:tr w:rsidR="005D178D" w:rsidRPr="005D178D" w:rsidTr="007A6113">
              <w:trPr>
                <w:trHeight w:val="486"/>
              </w:trPr>
              <w:tc>
                <w:tcPr>
                  <w:tcW w:w="0" w:type="auto"/>
                  <w:tcBorders>
                    <w:top w:val="nil"/>
                    <w:left w:val="nil"/>
                    <w:bottom w:val="nil"/>
                    <w:right w:val="nil"/>
                  </w:tcBorders>
                </w:tcPr>
                <w:p w:rsidR="005D178D" w:rsidRPr="005D178D" w:rsidRDefault="005D178D" w:rsidP="005D178D">
                  <w:pPr>
                    <w:autoSpaceDE w:val="0"/>
                    <w:autoSpaceDN w:val="0"/>
                    <w:adjustRightInd w:val="0"/>
                    <w:spacing w:line="276" w:lineRule="auto"/>
                    <w:jc w:val="both"/>
                    <w:rPr>
                      <w:rFonts w:ascii="Arial Narrow" w:eastAsiaTheme="minorEastAsia" w:hAnsi="Arial Narrow" w:cs="Trebuchet MS"/>
                      <w:color w:val="000000"/>
                      <w:sz w:val="24"/>
                      <w:szCs w:val="24"/>
                    </w:rPr>
                  </w:pPr>
                  <w:r w:rsidRPr="005D178D">
                    <w:rPr>
                      <w:rFonts w:ascii="Arial Narrow" w:eastAsiaTheme="minorEastAsia" w:hAnsi="Arial Narrow" w:cs="Trebuchet MS"/>
                      <w:color w:val="000000"/>
                      <w:sz w:val="24"/>
                      <w:szCs w:val="24"/>
                    </w:rPr>
                    <w:t>Numărul total de operațiuni de cooperare sprijinite în cadrul măsurii de cooperare [articolul 35 din Regulamentul (UE) nr. 1305/2013: 2 operațiuni</w:t>
                  </w:r>
                </w:p>
              </w:tc>
            </w:tr>
          </w:tbl>
          <w:p w:rsidR="005D178D" w:rsidRPr="005D178D" w:rsidRDefault="005D178D" w:rsidP="005D178D">
            <w:pPr>
              <w:autoSpaceDE w:val="0"/>
              <w:autoSpaceDN w:val="0"/>
              <w:adjustRightInd w:val="0"/>
              <w:spacing w:line="276" w:lineRule="auto"/>
              <w:jc w:val="both"/>
              <w:rPr>
                <w:rFonts w:ascii="Arial Narrow" w:eastAsiaTheme="minorEastAsia" w:hAnsi="Arial Narrow" w:cs="Trebuchet MS"/>
                <w:sz w:val="24"/>
                <w:szCs w:val="24"/>
              </w:rPr>
            </w:pPr>
            <w:r w:rsidRPr="005D178D">
              <w:rPr>
                <w:rFonts w:ascii="Arial Narrow" w:eastAsia="Calibri" w:hAnsi="Arial Narrow"/>
                <w:sz w:val="24"/>
                <w:szCs w:val="24"/>
              </w:rPr>
              <w:t xml:space="preserve"> </w:t>
            </w:r>
            <w:r w:rsidRPr="005D178D">
              <w:rPr>
                <w:rFonts w:ascii="Arial Narrow" w:eastAsiaTheme="minorEastAsia" w:hAnsi="Arial Narrow" w:cs="Trebuchet MS"/>
                <w:vanish/>
                <w:sz w:val="24"/>
                <w:szCs w:val="24"/>
              </w:rPr>
              <w:t>piețele locake</w:t>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r w:rsidRPr="005D178D">
              <w:rPr>
                <w:rFonts w:ascii="Arial Narrow" w:eastAsiaTheme="minorEastAsia" w:hAnsi="Arial Narrow" w:cs="Trebuchet MS"/>
                <w:vanish/>
                <w:sz w:val="24"/>
                <w:szCs w:val="24"/>
              </w:rPr>
              <w:pgNum/>
            </w:r>
          </w:p>
        </w:tc>
      </w:tr>
      <w:tr w:rsidR="005D178D" w:rsidRPr="005D178D" w:rsidTr="007A6113">
        <w:tc>
          <w:tcPr>
            <w:tcW w:w="3168" w:type="dxa"/>
            <w:vAlign w:val="center"/>
          </w:tcPr>
          <w:p w:rsidR="005D178D" w:rsidRPr="005D178D" w:rsidRDefault="005D178D" w:rsidP="005D178D">
            <w:pPr>
              <w:autoSpaceDE w:val="0"/>
              <w:autoSpaceDN w:val="0"/>
              <w:adjustRightInd w:val="0"/>
              <w:spacing w:line="276" w:lineRule="auto"/>
              <w:jc w:val="center"/>
              <w:rPr>
                <w:rFonts w:ascii="Arial Narrow" w:eastAsiaTheme="minorEastAsia" w:hAnsi="Arial Narrow" w:cs="Trebuchet MS"/>
                <w:sz w:val="24"/>
                <w:szCs w:val="24"/>
              </w:rPr>
            </w:pPr>
            <w:r w:rsidRPr="005D178D">
              <w:rPr>
                <w:rFonts w:ascii="Arial Narrow" w:eastAsiaTheme="minorEastAsia" w:hAnsi="Arial Narrow" w:cs="Trebuchet MS"/>
                <w:sz w:val="24"/>
                <w:szCs w:val="24"/>
              </w:rPr>
              <w:t>1A</w:t>
            </w:r>
          </w:p>
        </w:tc>
        <w:tc>
          <w:tcPr>
            <w:tcW w:w="5849" w:type="dxa"/>
          </w:tcPr>
          <w:p w:rsidR="005D178D" w:rsidRPr="005D178D" w:rsidRDefault="005D178D" w:rsidP="005D178D">
            <w:pPr>
              <w:spacing w:after="200" w:line="276" w:lineRule="auto"/>
              <w:jc w:val="both"/>
              <w:rPr>
                <w:rFonts w:ascii="Arial Narrow" w:eastAsiaTheme="minorEastAsia" w:hAnsi="Arial Narrow" w:cstheme="minorBidi"/>
                <w:sz w:val="24"/>
                <w:szCs w:val="24"/>
              </w:rPr>
            </w:pPr>
            <w:r w:rsidRPr="005D178D">
              <w:rPr>
                <w:rFonts w:ascii="Arial Narrow" w:eastAsiaTheme="minorEastAsia" w:hAnsi="Arial Narrow" w:cstheme="minorBidi"/>
                <w:sz w:val="24"/>
                <w:szCs w:val="24"/>
              </w:rPr>
              <w:t xml:space="preserve">Cheltuieli publice totale: </w:t>
            </w:r>
            <w:r w:rsidRPr="005D178D">
              <w:rPr>
                <w:rFonts w:ascii="Arial Narrow" w:eastAsiaTheme="minorEastAsia" w:hAnsi="Arial Narrow" w:cstheme="minorBidi"/>
                <w:b/>
                <w:sz w:val="24"/>
                <w:szCs w:val="24"/>
              </w:rPr>
              <w:t>40000</w:t>
            </w:r>
          </w:p>
        </w:tc>
      </w:tr>
    </w:tbl>
    <w:p w:rsidR="005D178D" w:rsidRPr="005D178D" w:rsidRDefault="005D178D" w:rsidP="005D178D">
      <w:pPr>
        <w:widowControl w:val="0"/>
        <w:autoSpaceDE w:val="0"/>
        <w:autoSpaceDN w:val="0"/>
        <w:adjustRightInd w:val="0"/>
        <w:spacing w:line="276" w:lineRule="auto"/>
        <w:jc w:val="both"/>
        <w:rPr>
          <w:rFonts w:ascii="Arial Narrow" w:eastAsiaTheme="minorEastAsia" w:hAnsi="Arial Narrow" w:cs="Trebuchet MS"/>
          <w:sz w:val="24"/>
          <w:szCs w:val="24"/>
        </w:rPr>
      </w:pPr>
    </w:p>
    <w:p w:rsidR="005D178D" w:rsidRPr="005D178D" w:rsidRDefault="005D178D" w:rsidP="005D178D">
      <w:pPr>
        <w:widowControl w:val="0"/>
        <w:autoSpaceDE w:val="0"/>
        <w:autoSpaceDN w:val="0"/>
        <w:adjustRightInd w:val="0"/>
        <w:spacing w:line="276" w:lineRule="auto"/>
        <w:jc w:val="both"/>
        <w:rPr>
          <w:rFonts w:ascii="Arial Narrow" w:eastAsiaTheme="minorEastAsia" w:hAnsi="Arial Narrow" w:cs="Trebuchet MS"/>
          <w:b/>
          <w:bCs/>
          <w:sz w:val="24"/>
          <w:szCs w:val="24"/>
          <w:u w:val="single"/>
        </w:rPr>
      </w:pPr>
    </w:p>
    <w:p w:rsidR="005D178D" w:rsidRPr="005D178D" w:rsidRDefault="005D178D" w:rsidP="005D178D">
      <w:pPr>
        <w:widowControl w:val="0"/>
        <w:autoSpaceDE w:val="0"/>
        <w:autoSpaceDN w:val="0"/>
        <w:adjustRightInd w:val="0"/>
        <w:spacing w:line="276" w:lineRule="auto"/>
        <w:jc w:val="both"/>
        <w:rPr>
          <w:rFonts w:ascii="Arial Narrow" w:eastAsiaTheme="minorEastAsia" w:hAnsi="Arial Narrow" w:cs="Trebuchet MS"/>
          <w:b/>
          <w:bCs/>
          <w:sz w:val="24"/>
          <w:szCs w:val="24"/>
          <w:u w:val="single"/>
        </w:rPr>
      </w:pPr>
    </w:p>
    <w:p w:rsidR="005D178D" w:rsidRPr="005D178D" w:rsidRDefault="005D178D" w:rsidP="00905B5E">
      <w:pPr>
        <w:keepNext/>
        <w:keepLines/>
        <w:spacing w:before="200"/>
        <w:outlineLvl w:val="1"/>
        <w:rPr>
          <w:rFonts w:ascii="Arial Narrow" w:eastAsiaTheme="majorEastAsia" w:hAnsi="Arial Narrow" w:cs="Trebuchet MS"/>
          <w:b/>
          <w:iCs/>
          <w:color w:val="000000"/>
          <w:sz w:val="24"/>
          <w:szCs w:val="24"/>
        </w:rPr>
      </w:pPr>
    </w:p>
    <w:sectPr w:rsidR="005D178D" w:rsidRPr="005D17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5A" w:rsidRDefault="000D365A" w:rsidP="008C0568">
      <w:r>
        <w:separator/>
      </w:r>
    </w:p>
  </w:endnote>
  <w:endnote w:type="continuationSeparator" w:id="0">
    <w:p w:rsidR="000D365A" w:rsidRDefault="000D365A" w:rsidP="008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8D" w:rsidRDefault="005D1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szCs w:val="22"/>
      </w:rPr>
      <w:id w:val="-64422847"/>
      <w:docPartObj>
        <w:docPartGallery w:val="Page Numbers (Bottom of Page)"/>
        <w:docPartUnique/>
      </w:docPartObj>
    </w:sdtPr>
    <w:sdtEndPr/>
    <w:sdtContent>
      <w:sdt>
        <w:sdtPr>
          <w:rPr>
            <w:rFonts w:ascii="Arial Narrow" w:hAnsi="Arial Narrow"/>
            <w:sz w:val="22"/>
            <w:szCs w:val="22"/>
          </w:rPr>
          <w:id w:val="860082579"/>
          <w:docPartObj>
            <w:docPartGallery w:val="Page Numbers (Top of Page)"/>
            <w:docPartUnique/>
          </w:docPartObj>
        </w:sdtPr>
        <w:sdtEndPr/>
        <w:sdtContent>
          <w:p w:rsidR="008C0568" w:rsidRPr="005D178D" w:rsidRDefault="008C0568">
            <w:pPr>
              <w:pStyle w:val="Footer"/>
              <w:jc w:val="right"/>
              <w:rPr>
                <w:rFonts w:ascii="Arial Narrow" w:hAnsi="Arial Narrow"/>
                <w:sz w:val="22"/>
                <w:szCs w:val="22"/>
              </w:rPr>
            </w:pPr>
            <w:r w:rsidRPr="005D178D">
              <w:rPr>
                <w:rFonts w:ascii="Arial Narrow" w:hAnsi="Arial Narrow"/>
                <w:sz w:val="22"/>
                <w:szCs w:val="22"/>
              </w:rPr>
              <w:t xml:space="preserve"> GAL</w:t>
            </w:r>
            <w:r w:rsidR="00474FAE" w:rsidRPr="005D178D">
              <w:rPr>
                <w:rFonts w:ascii="Arial Narrow" w:hAnsi="Arial Narrow"/>
                <w:sz w:val="22"/>
                <w:szCs w:val="22"/>
              </w:rPr>
              <w:t xml:space="preserve">ViM, </w:t>
            </w:r>
            <w:r w:rsidRPr="005D178D">
              <w:rPr>
                <w:rFonts w:ascii="Arial Narrow" w:hAnsi="Arial Narrow"/>
                <w:sz w:val="22"/>
                <w:szCs w:val="22"/>
              </w:rPr>
              <w:t xml:space="preserve">Fisa Masurii </w:t>
            </w:r>
            <w:r w:rsidR="00905B5E" w:rsidRPr="005D178D">
              <w:rPr>
                <w:rFonts w:ascii="Arial Narrow" w:hAnsi="Arial Narrow"/>
                <w:sz w:val="22"/>
                <w:szCs w:val="22"/>
              </w:rPr>
              <w:t>M</w:t>
            </w:r>
            <w:r w:rsidR="005D178D" w:rsidRPr="005D178D">
              <w:rPr>
                <w:rFonts w:ascii="Arial Narrow" w:hAnsi="Arial Narrow"/>
                <w:sz w:val="22"/>
                <w:szCs w:val="22"/>
              </w:rPr>
              <w:t>3</w:t>
            </w:r>
            <w:r w:rsidR="00905B5E" w:rsidRPr="005D178D">
              <w:rPr>
                <w:rFonts w:ascii="Arial Narrow" w:hAnsi="Arial Narrow"/>
                <w:sz w:val="22"/>
                <w:szCs w:val="22"/>
              </w:rPr>
              <w:t>/1B</w:t>
            </w:r>
            <w:r w:rsidR="005D178D" w:rsidRPr="005D178D">
              <w:rPr>
                <w:rFonts w:ascii="Arial Narrow" w:hAnsi="Arial Narrow"/>
                <w:sz w:val="22"/>
                <w:szCs w:val="22"/>
              </w:rPr>
              <w:t xml:space="preserve"> </w:t>
            </w:r>
            <w:r w:rsidR="005D178D" w:rsidRPr="005D178D">
              <w:rPr>
                <w:rFonts w:ascii="Arial Narrow" w:eastAsiaTheme="minorEastAsia" w:hAnsi="Arial Narrow" w:cs="Trebuchet MS"/>
                <w:b/>
                <w:bCs/>
                <w:color w:val="000000"/>
                <w:sz w:val="22"/>
                <w:szCs w:val="22"/>
                <w:lang w:val="x-none"/>
              </w:rPr>
              <w:t xml:space="preserve">Cooperare în vederea diversificării activităţilor </w:t>
            </w:r>
            <w:proofErr w:type="gramStart"/>
            <w:r w:rsidR="005D178D" w:rsidRPr="005D178D">
              <w:rPr>
                <w:rFonts w:ascii="Arial Narrow" w:eastAsiaTheme="minorEastAsia" w:hAnsi="Arial Narrow" w:cs="Trebuchet MS"/>
                <w:b/>
                <w:bCs/>
                <w:color w:val="000000"/>
                <w:sz w:val="22"/>
                <w:szCs w:val="22"/>
                <w:lang w:val="x-none"/>
              </w:rPr>
              <w:t>agricole</w:t>
            </w:r>
            <w:r w:rsidRPr="005D178D">
              <w:rPr>
                <w:rFonts w:ascii="Arial Narrow" w:hAnsi="Arial Narrow"/>
                <w:sz w:val="22"/>
                <w:szCs w:val="22"/>
              </w:rPr>
              <w:t xml:space="preserve"> ;</w:t>
            </w:r>
            <w:proofErr w:type="gramEnd"/>
            <w:r w:rsidRPr="005D178D">
              <w:rPr>
                <w:rFonts w:ascii="Arial Narrow" w:hAnsi="Arial Narrow"/>
                <w:sz w:val="22"/>
                <w:szCs w:val="22"/>
              </w:rPr>
              <w:t xml:space="preserve"> Page </w:t>
            </w:r>
            <w:r w:rsidRPr="005D178D">
              <w:rPr>
                <w:rFonts w:ascii="Arial Narrow" w:hAnsi="Arial Narrow"/>
                <w:b/>
                <w:bCs/>
                <w:sz w:val="22"/>
                <w:szCs w:val="22"/>
              </w:rPr>
              <w:fldChar w:fldCharType="begin"/>
            </w:r>
            <w:r w:rsidRPr="005D178D">
              <w:rPr>
                <w:rFonts w:ascii="Arial Narrow" w:hAnsi="Arial Narrow"/>
                <w:b/>
                <w:bCs/>
                <w:sz w:val="22"/>
                <w:szCs w:val="22"/>
              </w:rPr>
              <w:instrText xml:space="preserve"> PAGE </w:instrText>
            </w:r>
            <w:r w:rsidRPr="005D178D">
              <w:rPr>
                <w:rFonts w:ascii="Arial Narrow" w:hAnsi="Arial Narrow"/>
                <w:b/>
                <w:bCs/>
                <w:sz w:val="22"/>
                <w:szCs w:val="22"/>
              </w:rPr>
              <w:fldChar w:fldCharType="separate"/>
            </w:r>
            <w:r w:rsidR="00C24BB8">
              <w:rPr>
                <w:rFonts w:ascii="Arial Narrow" w:hAnsi="Arial Narrow"/>
                <w:b/>
                <w:bCs/>
                <w:noProof/>
                <w:sz w:val="22"/>
                <w:szCs w:val="22"/>
              </w:rPr>
              <w:t>6</w:t>
            </w:r>
            <w:r w:rsidRPr="005D178D">
              <w:rPr>
                <w:rFonts w:ascii="Arial Narrow" w:hAnsi="Arial Narrow"/>
                <w:b/>
                <w:bCs/>
                <w:sz w:val="22"/>
                <w:szCs w:val="22"/>
              </w:rPr>
              <w:fldChar w:fldCharType="end"/>
            </w:r>
            <w:r w:rsidRPr="005D178D">
              <w:rPr>
                <w:rFonts w:ascii="Arial Narrow" w:hAnsi="Arial Narrow"/>
                <w:sz w:val="22"/>
                <w:szCs w:val="22"/>
              </w:rPr>
              <w:t xml:space="preserve"> of </w:t>
            </w:r>
            <w:r w:rsidRPr="005D178D">
              <w:rPr>
                <w:rFonts w:ascii="Arial Narrow" w:hAnsi="Arial Narrow"/>
                <w:b/>
                <w:bCs/>
                <w:sz w:val="22"/>
                <w:szCs w:val="22"/>
              </w:rPr>
              <w:fldChar w:fldCharType="begin"/>
            </w:r>
            <w:r w:rsidRPr="005D178D">
              <w:rPr>
                <w:rFonts w:ascii="Arial Narrow" w:hAnsi="Arial Narrow"/>
                <w:b/>
                <w:bCs/>
                <w:sz w:val="22"/>
                <w:szCs w:val="22"/>
              </w:rPr>
              <w:instrText xml:space="preserve"> NUMPAGES  </w:instrText>
            </w:r>
            <w:r w:rsidRPr="005D178D">
              <w:rPr>
                <w:rFonts w:ascii="Arial Narrow" w:hAnsi="Arial Narrow"/>
                <w:b/>
                <w:bCs/>
                <w:sz w:val="22"/>
                <w:szCs w:val="22"/>
              </w:rPr>
              <w:fldChar w:fldCharType="separate"/>
            </w:r>
            <w:r w:rsidR="00C24BB8">
              <w:rPr>
                <w:rFonts w:ascii="Arial Narrow" w:hAnsi="Arial Narrow"/>
                <w:b/>
                <w:bCs/>
                <w:noProof/>
                <w:sz w:val="22"/>
                <w:szCs w:val="22"/>
              </w:rPr>
              <w:t>6</w:t>
            </w:r>
            <w:r w:rsidRPr="005D178D">
              <w:rPr>
                <w:rFonts w:ascii="Arial Narrow" w:hAnsi="Arial Narrow"/>
                <w:b/>
                <w:bCs/>
                <w:sz w:val="22"/>
                <w:szCs w:val="22"/>
              </w:rPr>
              <w:fldChar w:fldCharType="end"/>
            </w:r>
          </w:p>
        </w:sdtContent>
      </w:sdt>
    </w:sdtContent>
  </w:sdt>
  <w:p w:rsidR="008C0568" w:rsidRPr="005D178D" w:rsidRDefault="008C0568">
    <w:pPr>
      <w:pStyle w:val="Footer"/>
      <w:rPr>
        <w:rFonts w:ascii="Arial Narrow" w:hAnsi="Arial Narrow"/>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8D" w:rsidRDefault="005D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5A" w:rsidRDefault="000D365A" w:rsidP="008C0568">
      <w:r>
        <w:separator/>
      </w:r>
    </w:p>
  </w:footnote>
  <w:footnote w:type="continuationSeparator" w:id="0">
    <w:p w:rsidR="000D365A" w:rsidRDefault="000D365A" w:rsidP="008C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8D" w:rsidRDefault="005D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8D" w:rsidRDefault="005D1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8D" w:rsidRDefault="005D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5FA4"/>
    <w:multiLevelType w:val="hybridMultilevel"/>
    <w:tmpl w:val="00002059"/>
    <w:lvl w:ilvl="0" w:tplc="0000127E">
      <w:start w:val="1"/>
      <w:numFmt w:val="bullet"/>
      <w:lvlText w:val="•"/>
      <w:lvlJc w:val="left"/>
      <w:pPr>
        <w:tabs>
          <w:tab w:val="num" w:pos="720"/>
        </w:tabs>
        <w:ind w:left="720" w:hanging="360"/>
      </w:pPr>
    </w:lvl>
    <w:lvl w:ilvl="1" w:tplc="00000035">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DE6493"/>
    <w:multiLevelType w:val="hybridMultilevel"/>
    <w:tmpl w:val="6B121C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238746"/>
    <w:multiLevelType w:val="multilevel"/>
    <w:tmpl w:val="8E328B86"/>
    <w:lvl w:ilvl="0">
      <w:start w:val="1"/>
      <w:numFmt w:val="lowerLetter"/>
      <w:lvlText w:val="%1)"/>
      <w:lvlJc w:val="left"/>
      <w:pPr>
        <w:tabs>
          <w:tab w:val="num" w:pos="720"/>
        </w:tabs>
        <w:ind w:left="720" w:hanging="360"/>
      </w:pPr>
      <w:rPr>
        <w:rFonts w:ascii="Trebuchet MS" w:hAnsi="Trebuchet MS"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048E695C"/>
    <w:multiLevelType w:val="hybridMultilevel"/>
    <w:tmpl w:val="1B4EFC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BAA1CB6"/>
    <w:multiLevelType w:val="hybridMultilevel"/>
    <w:tmpl w:val="4AAAF06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C29F78B"/>
    <w:multiLevelType w:val="multilevel"/>
    <w:tmpl w:val="6B9B46B4"/>
    <w:lvl w:ilvl="0">
      <w:numFmt w:val="bullet"/>
      <w:lvlText w:val="·"/>
      <w:lvlJc w:val="left"/>
      <w:pPr>
        <w:tabs>
          <w:tab w:val="num" w:pos="420"/>
        </w:tabs>
        <w:ind w:left="420" w:hanging="42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0DED6E82"/>
    <w:multiLevelType w:val="hybridMultilevel"/>
    <w:tmpl w:val="BCC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CBA65"/>
    <w:multiLevelType w:val="multilevel"/>
    <w:tmpl w:val="44965F46"/>
    <w:lvl w:ilvl="0">
      <w:numFmt w:val="bullet"/>
      <w:lvlText w:val="•"/>
      <w:lvlJc w:val="left"/>
      <w:pPr>
        <w:tabs>
          <w:tab w:val="num" w:pos="360"/>
        </w:tabs>
        <w:ind w:left="360" w:hanging="360"/>
      </w:pPr>
      <w:rPr>
        <w:rFonts w:ascii="Trebuchet MS" w:hAnsi="Trebuchet MS" w:cs="Trebuchet MS"/>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9" w15:restartNumberingAfterBreak="0">
    <w:nsid w:val="1887310F"/>
    <w:multiLevelType w:val="hybridMultilevel"/>
    <w:tmpl w:val="AC024C6C"/>
    <w:lvl w:ilvl="0" w:tplc="0000127E">
      <w:start w:val="1"/>
      <w:numFmt w:val="bullet"/>
      <w:lvlText w:val="•"/>
      <w:lvlJc w:val="left"/>
      <w:pPr>
        <w:ind w:left="1003" w:hanging="360"/>
      </w:p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1BB94528"/>
    <w:multiLevelType w:val="hybridMultilevel"/>
    <w:tmpl w:val="CA0A7B2E"/>
    <w:lvl w:ilvl="0" w:tplc="9BD018CC">
      <w:numFmt w:val="bullet"/>
      <w:lvlText w:val="-"/>
      <w:lvlJc w:val="left"/>
      <w:pPr>
        <w:ind w:left="720" w:hanging="360"/>
      </w:pPr>
      <w:rPr>
        <w:rFonts w:ascii="Trebuchet MS" w:eastAsiaTheme="minorEastAsia"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C5400"/>
    <w:multiLevelType w:val="hybridMultilevel"/>
    <w:tmpl w:val="BC128ABA"/>
    <w:lvl w:ilvl="0" w:tplc="9BD018CC">
      <w:numFmt w:val="bullet"/>
      <w:lvlText w:val="-"/>
      <w:lvlJc w:val="left"/>
      <w:pPr>
        <w:ind w:left="720" w:hanging="360"/>
      </w:pPr>
      <w:rPr>
        <w:rFonts w:ascii="Trebuchet MS" w:eastAsiaTheme="minorEastAsia" w:hAnsi="Trebuchet MS" w:cs="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3" w15:restartNumberingAfterBreak="0">
    <w:nsid w:val="25CA7F46"/>
    <w:multiLevelType w:val="hybridMultilevel"/>
    <w:tmpl w:val="144C15C0"/>
    <w:lvl w:ilvl="0" w:tplc="B6D0C9A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666D5"/>
    <w:multiLevelType w:val="multilevel"/>
    <w:tmpl w:val="AC1AFA5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6D6322"/>
    <w:multiLevelType w:val="hybridMultilevel"/>
    <w:tmpl w:val="DB34091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2AA2415E"/>
    <w:multiLevelType w:val="hybridMultilevel"/>
    <w:tmpl w:val="07DCC396"/>
    <w:lvl w:ilvl="0" w:tplc="0000127E">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E63A4"/>
    <w:multiLevelType w:val="hybridMultilevel"/>
    <w:tmpl w:val="B302E1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9E3DA"/>
    <w:multiLevelType w:val="multilevel"/>
    <w:tmpl w:val="01686412"/>
    <w:lvl w:ilvl="0">
      <w:start w:val="1"/>
      <w:numFmt w:val="decimal"/>
      <w:lvlText w:val="%1."/>
      <w:lvlJc w:val="left"/>
      <w:pPr>
        <w:tabs>
          <w:tab w:val="num" w:pos="720"/>
        </w:tabs>
        <w:ind w:left="720" w:hanging="360"/>
      </w:pPr>
      <w:rPr>
        <w:rFonts w:ascii="Trebuchet MS" w:hAnsi="Trebuchet MS" w:cs="Times New Roman" w:hint="default"/>
        <w:b/>
        <w:bCs/>
        <w:sz w:val="24"/>
        <w:szCs w:val="24"/>
        <w:u w:val="non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15:restartNumberingAfterBreak="0">
    <w:nsid w:val="310ACB97"/>
    <w:multiLevelType w:val="multilevel"/>
    <w:tmpl w:val="1A80F451"/>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321454D2"/>
    <w:multiLevelType w:val="hybridMultilevel"/>
    <w:tmpl w:val="17DA7FE8"/>
    <w:lvl w:ilvl="0" w:tplc="57C0BFFE">
      <w:start w:val="1"/>
      <w:numFmt w:val="bullet"/>
      <w:lvlText w:val="•"/>
      <w:lvlJc w:val="left"/>
      <w:pPr>
        <w:ind w:left="720" w:hanging="360"/>
      </w:pPr>
      <w:rPr>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2385B"/>
    <w:multiLevelType w:val="multilevel"/>
    <w:tmpl w:val="692FAD44"/>
    <w:lvl w:ilvl="0">
      <w:numFmt w:val="bullet"/>
      <w:lvlText w:val="□"/>
      <w:lvlJc w:val="left"/>
      <w:pPr>
        <w:tabs>
          <w:tab w:val="num" w:pos="2025"/>
        </w:tabs>
        <w:ind w:left="2025" w:hanging="300"/>
      </w:pPr>
      <w:rPr>
        <w:rFonts w:ascii="Times New Roman" w:hAnsi="Times New Roman" w:cs="Times New Roman"/>
        <w:sz w:val="22"/>
        <w:szCs w:val="22"/>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2" w15:restartNumberingAfterBreak="0">
    <w:nsid w:val="3E417EEC"/>
    <w:multiLevelType w:val="hybridMultilevel"/>
    <w:tmpl w:val="D58CF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1CC7CE1"/>
    <w:multiLevelType w:val="multilevel"/>
    <w:tmpl w:val="2BA6070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E82728"/>
    <w:multiLevelType w:val="hybridMultilevel"/>
    <w:tmpl w:val="0DA00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09966F0"/>
    <w:multiLevelType w:val="multilevel"/>
    <w:tmpl w:val="571CC295"/>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7" w15:restartNumberingAfterBreak="0">
    <w:nsid w:val="5404421D"/>
    <w:multiLevelType w:val="multilevel"/>
    <w:tmpl w:val="7B66CD9E"/>
    <w:lvl w:ilvl="0">
      <w:numFmt w:val="bullet"/>
      <w:lvlText w:val="•"/>
      <w:lvlJc w:val="left"/>
      <w:pPr>
        <w:tabs>
          <w:tab w:val="num" w:pos="705"/>
        </w:tabs>
        <w:ind w:left="705" w:hanging="150"/>
      </w:pPr>
      <w:rPr>
        <w:rFonts w:ascii="Times New Roman" w:hAnsi="Times New Roman" w:cs="Times New Roman"/>
        <w:sz w:val="22"/>
        <w:szCs w:val="22"/>
      </w:rPr>
    </w:lvl>
    <w:lvl w:ilvl="1">
      <w:numFmt w:val="bullet"/>
      <w:lvlText w:val="•"/>
      <w:lvlJc w:val="left"/>
      <w:pPr>
        <w:tabs>
          <w:tab w:val="num" w:pos="720"/>
        </w:tabs>
        <w:ind w:left="720" w:hanging="150"/>
      </w:pPr>
      <w:rPr>
        <w:rFonts w:ascii="Times New Roman" w:hAnsi="Times New Roman" w:cs="Times New Roman"/>
        <w:sz w:val="22"/>
        <w:szCs w:val="22"/>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8" w15:restartNumberingAfterBreak="0">
    <w:nsid w:val="54E05AC8"/>
    <w:multiLevelType w:val="hybridMultilevel"/>
    <w:tmpl w:val="3DA2EE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5CE1466"/>
    <w:multiLevelType w:val="hybridMultilevel"/>
    <w:tmpl w:val="E424E5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7F084E9"/>
    <w:multiLevelType w:val="multilevel"/>
    <w:tmpl w:val="C73CBACC"/>
    <w:lvl w:ilvl="0">
      <w:numFmt w:val="bullet"/>
      <w:lvlText w:val="•"/>
      <w:lvlJc w:val="left"/>
      <w:pPr>
        <w:tabs>
          <w:tab w:val="num" w:pos="420"/>
        </w:tabs>
        <w:ind w:left="420" w:hanging="420"/>
      </w:pPr>
      <w:rPr>
        <w:rFonts w:ascii="Trebuchet MS" w:hAnsi="Trebuchet MS" w:cs="Times New Roman" w:hint="default"/>
        <w:color w:val="000000"/>
        <w:sz w:val="22"/>
        <w:szCs w:val="22"/>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1" w15:restartNumberingAfterBreak="0">
    <w:nsid w:val="60AF6462"/>
    <w:multiLevelType w:val="hybridMultilevel"/>
    <w:tmpl w:val="A62A3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4622FE"/>
    <w:multiLevelType w:val="multilevel"/>
    <w:tmpl w:val="A4E6BB44"/>
    <w:lvl w:ilvl="0">
      <w:start w:val="1"/>
      <w:numFmt w:val="lowerLetter"/>
      <w:lvlText w:val="%1)"/>
      <w:lvlJc w:val="left"/>
      <w:pPr>
        <w:tabs>
          <w:tab w:val="num" w:pos="720"/>
        </w:tabs>
        <w:ind w:left="720" w:hanging="360"/>
      </w:pPr>
      <w:rPr>
        <w:rFonts w:ascii="Trebuchet MS" w:hAnsi="Trebuchet MS" w:cs="Times New Roman"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15:restartNumberingAfterBreak="0">
    <w:nsid w:val="6797CCDC"/>
    <w:multiLevelType w:val="multilevel"/>
    <w:tmpl w:val="338B4092"/>
    <w:lvl w:ilvl="0">
      <w:numFmt w:val="bullet"/>
      <w:lvlText w:val="•"/>
      <w:lvlJc w:val="left"/>
      <w:pPr>
        <w:tabs>
          <w:tab w:val="num" w:pos="135"/>
        </w:tabs>
        <w:ind w:left="135" w:hanging="135"/>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15:restartNumberingAfterBreak="0">
    <w:nsid w:val="6A18EAE7"/>
    <w:multiLevelType w:val="multilevel"/>
    <w:tmpl w:val="090C8761"/>
    <w:lvl w:ilvl="0">
      <w:numFmt w:val="bullet"/>
      <w:lvlText w:val="·"/>
      <w:lvlJc w:val="left"/>
      <w:pPr>
        <w:tabs>
          <w:tab w:val="num" w:pos="420"/>
        </w:tabs>
        <w:ind w:left="4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15:restartNumberingAfterBreak="0">
    <w:nsid w:val="6C1061FA"/>
    <w:multiLevelType w:val="hybridMultilevel"/>
    <w:tmpl w:val="0BCCD700"/>
    <w:lvl w:ilvl="0" w:tplc="E25217DC">
      <w:numFmt w:val="bullet"/>
      <w:lvlText w:val="•"/>
      <w:lvlJc w:val="left"/>
      <w:pPr>
        <w:ind w:left="360" w:hanging="360"/>
      </w:pPr>
      <w:rPr>
        <w:rFonts w:ascii="Trebuchet MS" w:eastAsia="Calibri" w:hAnsi="Trebuchet M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72AA4108"/>
    <w:multiLevelType w:val="hybridMultilevel"/>
    <w:tmpl w:val="156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B42247"/>
    <w:multiLevelType w:val="hybridMultilevel"/>
    <w:tmpl w:val="5F34C1FC"/>
    <w:lvl w:ilvl="0" w:tplc="0000127E">
      <w:start w:val="1"/>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76417C5D"/>
    <w:multiLevelType w:val="hybridMultilevel"/>
    <w:tmpl w:val="C0A2B970"/>
    <w:lvl w:ilvl="0" w:tplc="0000127E">
      <w:start w:val="1"/>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765E3890"/>
    <w:multiLevelType w:val="hybridMultilevel"/>
    <w:tmpl w:val="4BAED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E98673F"/>
    <w:multiLevelType w:val="hybridMultilevel"/>
    <w:tmpl w:val="424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36"/>
  </w:num>
  <w:num w:numId="4">
    <w:abstractNumId w:val="14"/>
  </w:num>
  <w:num w:numId="5">
    <w:abstractNumId w:val="23"/>
  </w:num>
  <w:num w:numId="6">
    <w:abstractNumId w:val="0"/>
  </w:num>
  <w:num w:numId="7">
    <w:abstractNumId w:val="5"/>
  </w:num>
  <w:num w:numId="8">
    <w:abstractNumId w:val="39"/>
  </w:num>
  <w:num w:numId="9">
    <w:abstractNumId w:val="24"/>
  </w:num>
  <w:num w:numId="10">
    <w:abstractNumId w:val="2"/>
  </w:num>
  <w:num w:numId="11">
    <w:abstractNumId w:val="28"/>
  </w:num>
  <w:num w:numId="12">
    <w:abstractNumId w:val="38"/>
  </w:num>
  <w:num w:numId="13">
    <w:abstractNumId w:val="35"/>
  </w:num>
  <w:num w:numId="14">
    <w:abstractNumId w:val="15"/>
  </w:num>
  <w:num w:numId="15">
    <w:abstractNumId w:val="4"/>
  </w:num>
  <w:num w:numId="16">
    <w:abstractNumId w:val="22"/>
  </w:num>
  <w:num w:numId="17">
    <w:abstractNumId w:val="1"/>
  </w:num>
  <w:num w:numId="18">
    <w:abstractNumId w:val="29"/>
  </w:num>
  <w:num w:numId="19">
    <w:abstractNumId w:val="17"/>
  </w:num>
  <w:num w:numId="20">
    <w:abstractNumId w:val="3"/>
  </w:num>
  <w:num w:numId="21">
    <w:abstractNumId w:val="31"/>
  </w:num>
  <w:num w:numId="22">
    <w:abstractNumId w:val="7"/>
  </w:num>
  <w:num w:numId="23">
    <w:abstractNumId w:val="11"/>
  </w:num>
  <w:num w:numId="24">
    <w:abstractNumId w:val="37"/>
  </w:num>
  <w:num w:numId="25">
    <w:abstractNumId w:val="20"/>
  </w:num>
  <w:num w:numId="26">
    <w:abstractNumId w:val="9"/>
  </w:num>
  <w:num w:numId="27">
    <w:abstractNumId w:val="34"/>
  </w:num>
  <w:num w:numId="28">
    <w:abstractNumId w:val="40"/>
  </w:num>
  <w:num w:numId="29">
    <w:abstractNumId w:val="16"/>
  </w:num>
  <w:num w:numId="30">
    <w:abstractNumId w:val="21"/>
  </w:num>
  <w:num w:numId="31">
    <w:abstractNumId w:val="32"/>
  </w:num>
  <w:num w:numId="32">
    <w:abstractNumId w:val="30"/>
  </w:num>
  <w:num w:numId="33">
    <w:abstractNumId w:val="33"/>
  </w:num>
  <w:num w:numId="34">
    <w:abstractNumId w:val="19"/>
  </w:num>
  <w:num w:numId="35">
    <w:abstractNumId w:val="18"/>
  </w:num>
  <w:num w:numId="36">
    <w:abstractNumId w:val="8"/>
  </w:num>
  <w:num w:numId="37">
    <w:abstractNumId w:val="27"/>
  </w:num>
  <w:num w:numId="38">
    <w:abstractNumId w:val="26"/>
  </w:num>
  <w:num w:numId="39">
    <w:abstractNumId w:val="6"/>
  </w:num>
  <w:num w:numId="40">
    <w:abstractNumId w:val="1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8"/>
    <w:rsid w:val="0004348F"/>
    <w:rsid w:val="000B6614"/>
    <w:rsid w:val="000B7504"/>
    <w:rsid w:val="000C0F07"/>
    <w:rsid w:val="000D365A"/>
    <w:rsid w:val="0017588E"/>
    <w:rsid w:val="001A273E"/>
    <w:rsid w:val="001C2BB2"/>
    <w:rsid w:val="0029105C"/>
    <w:rsid w:val="002D1727"/>
    <w:rsid w:val="002D4FBF"/>
    <w:rsid w:val="002F1F34"/>
    <w:rsid w:val="003423E7"/>
    <w:rsid w:val="0046663F"/>
    <w:rsid w:val="00474FAE"/>
    <w:rsid w:val="004B0AB2"/>
    <w:rsid w:val="005A7F4C"/>
    <w:rsid w:val="005D178D"/>
    <w:rsid w:val="005E1452"/>
    <w:rsid w:val="005E4E0A"/>
    <w:rsid w:val="007E568B"/>
    <w:rsid w:val="0083141D"/>
    <w:rsid w:val="00845BE0"/>
    <w:rsid w:val="008B5CDB"/>
    <w:rsid w:val="008C0568"/>
    <w:rsid w:val="00905B5E"/>
    <w:rsid w:val="009749C5"/>
    <w:rsid w:val="00A2633C"/>
    <w:rsid w:val="00AB2F46"/>
    <w:rsid w:val="00B06151"/>
    <w:rsid w:val="00B60B66"/>
    <w:rsid w:val="00C1670C"/>
    <w:rsid w:val="00C24BB8"/>
    <w:rsid w:val="00C7435F"/>
    <w:rsid w:val="00CA6B49"/>
    <w:rsid w:val="00E05CD8"/>
    <w:rsid w:val="00E4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11521-584D-48EE-B713-3D8760D4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8C0568"/>
    <w:rPr>
      <w:color w:val="0000FF" w:themeColor="hyperlink"/>
      <w:u w:val="single"/>
    </w:rPr>
  </w:style>
  <w:style w:type="character" w:styleId="FootnoteReference">
    <w:name w:val="footnote reference"/>
    <w:aliases w:val="Footnote,Footnote symbol,Fussnota,ftref"/>
    <w:basedOn w:val="DefaultParagraphFont"/>
    <w:uiPriority w:val="99"/>
    <w:semiHidden/>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FootnoteText">
    <w:name w:val="footnote text"/>
    <w:basedOn w:val="Normal"/>
    <w:link w:val="FootnoteTextChar"/>
    <w:uiPriority w:val="99"/>
    <w:semiHidden/>
    <w:unhideWhenUsed/>
    <w:rsid w:val="008C0568"/>
    <w:rPr>
      <w:rFonts w:ascii="Trebuchet MS" w:eastAsiaTheme="minorHAnsi" w:hAnsi="Trebuchet MS" w:cstheme="minorBidi"/>
      <w:lang w:val="ro-RO"/>
    </w:rPr>
  </w:style>
  <w:style w:type="character" w:customStyle="1" w:styleId="FootnoteTextChar">
    <w:name w:val="Footnote Text Char"/>
    <w:basedOn w:val="DefaultParagraphFont"/>
    <w:link w:val="FootnoteText"/>
    <w:uiPriority w:val="99"/>
    <w:semiHidden/>
    <w:rsid w:val="008C0568"/>
    <w:rPr>
      <w:rFonts w:ascii="Trebuchet MS" w:eastAsiaTheme="minorHAnsi" w:hAnsi="Trebuchet MS" w:cstheme="minorBidi"/>
      <w:lang w:val="ro-RO"/>
    </w:rPr>
  </w:style>
  <w:style w:type="paragraph" w:styleId="BalloonText">
    <w:name w:val="Balloon Text"/>
    <w:basedOn w:val="Normal"/>
    <w:link w:val="BalloonTextChar"/>
    <w:uiPriority w:val="99"/>
    <w:semiHidden/>
    <w:unhideWhenUsed/>
    <w:rsid w:val="008C0568"/>
    <w:rPr>
      <w:rFonts w:ascii="Tahoma" w:hAnsi="Tahoma" w:cs="Tahoma"/>
      <w:sz w:val="16"/>
      <w:szCs w:val="16"/>
    </w:rPr>
  </w:style>
  <w:style w:type="character" w:customStyle="1" w:styleId="BalloonTextChar">
    <w:name w:val="Balloon Text Char"/>
    <w:basedOn w:val="DefaultParagraphFont"/>
    <w:link w:val="BalloonText"/>
    <w:uiPriority w:val="99"/>
    <w:semiHidden/>
    <w:rsid w:val="008C0568"/>
    <w:rPr>
      <w:rFonts w:ascii="Tahoma" w:hAnsi="Tahoma" w:cs="Tahoma"/>
      <w:sz w:val="16"/>
      <w:szCs w:val="16"/>
    </w:rPr>
  </w:style>
  <w:style w:type="paragraph" w:styleId="Header">
    <w:name w:val="header"/>
    <w:basedOn w:val="Normal"/>
    <w:link w:val="HeaderChar"/>
    <w:uiPriority w:val="99"/>
    <w:unhideWhenUsed/>
    <w:rsid w:val="008C0568"/>
    <w:pPr>
      <w:tabs>
        <w:tab w:val="center" w:pos="4680"/>
        <w:tab w:val="right" w:pos="9360"/>
      </w:tabs>
    </w:pPr>
  </w:style>
  <w:style w:type="character" w:customStyle="1" w:styleId="HeaderChar">
    <w:name w:val="Header Char"/>
    <w:basedOn w:val="DefaultParagraphFont"/>
    <w:link w:val="Header"/>
    <w:uiPriority w:val="99"/>
    <w:rsid w:val="008C0568"/>
  </w:style>
  <w:style w:type="paragraph" w:styleId="Footer">
    <w:name w:val="footer"/>
    <w:basedOn w:val="Normal"/>
    <w:link w:val="FooterChar"/>
    <w:uiPriority w:val="99"/>
    <w:unhideWhenUsed/>
    <w:rsid w:val="008C0568"/>
    <w:pPr>
      <w:tabs>
        <w:tab w:val="center" w:pos="4680"/>
        <w:tab w:val="right" w:pos="9360"/>
      </w:tabs>
    </w:pPr>
  </w:style>
  <w:style w:type="character" w:customStyle="1" w:styleId="FooterChar">
    <w:name w:val="Footer Char"/>
    <w:basedOn w:val="DefaultParagraphFont"/>
    <w:link w:val="Footer"/>
    <w:uiPriority w:val="99"/>
    <w:rsid w:val="008C0568"/>
  </w:style>
  <w:style w:type="paragraph" w:styleId="ListParagraph">
    <w:name w:val="List Paragraph"/>
    <w:basedOn w:val="Normal"/>
    <w:uiPriority w:val="34"/>
    <w:qFormat/>
    <w:rsid w:val="008C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valeaizeimoisei.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36E599-6384-4DE4-9E23-DA853DE6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RePack by Diakov</cp:lastModifiedBy>
  <cp:revision>3</cp:revision>
  <dcterms:created xsi:type="dcterms:W3CDTF">2017-11-06T21:08:00Z</dcterms:created>
  <dcterms:modified xsi:type="dcterms:W3CDTF">2017-11-06T21:24:00Z</dcterms:modified>
</cp:coreProperties>
</file>